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120"/>
      </w:pPr>
    </w:p>
    <w:p>
      <w:pPr>
        <w:spacing w:before="120"/>
      </w:pPr>
    </w:p>
    <w:p>
      <w:pPr>
        <w:spacing w:before="100" w:beforeAutospacing="1" w:after="100" w:afterAutospacing="1"/>
        <w:jc w:val="center"/>
        <w:rPr>
          <w:sz w:val="44"/>
        </w:rPr>
      </w:pPr>
      <w:r>
        <w:rPr>
          <w:rFonts w:hint="eastAsia"/>
          <w:sz w:val="44"/>
        </w:rPr>
        <w:t>安联湾区时代项目总承包工程造价咨询服务</w:t>
      </w:r>
    </w:p>
    <w:p>
      <w:pPr>
        <w:spacing w:before="120"/>
        <w:jc w:val="center"/>
        <w:rPr>
          <w:sz w:val="44"/>
          <w:szCs w:val="44"/>
        </w:rPr>
      </w:pPr>
    </w:p>
    <w:p>
      <w:pPr>
        <w:spacing w:line="360" w:lineRule="auto"/>
        <w:rPr>
          <w:rFonts w:eastAsia="仿宋_GB2312"/>
          <w:sz w:val="32"/>
        </w:rPr>
      </w:pPr>
    </w:p>
    <w:p>
      <w:pPr>
        <w:spacing w:line="360" w:lineRule="auto"/>
        <w:rPr>
          <w:b/>
        </w:rPr>
      </w:pPr>
    </w:p>
    <w:p>
      <w:pPr>
        <w:pStyle w:val="41"/>
        <w:widowControl/>
        <w:spacing w:before="120"/>
        <w:jc w:val="center"/>
        <w:rPr>
          <w:b/>
        </w:rPr>
      </w:pPr>
    </w:p>
    <w:p>
      <w:pPr>
        <w:pStyle w:val="41"/>
        <w:widowControl/>
        <w:spacing w:before="120"/>
        <w:jc w:val="center"/>
        <w:rPr>
          <w:b/>
        </w:rPr>
      </w:pPr>
    </w:p>
    <w:p>
      <w:pPr>
        <w:pStyle w:val="41"/>
        <w:widowControl/>
        <w:spacing w:before="120"/>
        <w:jc w:val="center"/>
        <w:rPr>
          <w:b/>
          <w:sz w:val="44"/>
        </w:rPr>
      </w:pPr>
    </w:p>
    <w:p>
      <w:pPr>
        <w:pStyle w:val="41"/>
        <w:widowControl/>
        <w:spacing w:before="120"/>
        <w:jc w:val="center"/>
        <w:rPr>
          <w:b/>
          <w:sz w:val="44"/>
        </w:rPr>
      </w:pPr>
    </w:p>
    <w:p>
      <w:pPr>
        <w:pStyle w:val="41"/>
        <w:widowControl/>
        <w:spacing w:before="120"/>
        <w:jc w:val="center"/>
        <w:rPr>
          <w:b/>
          <w:sz w:val="44"/>
        </w:rPr>
      </w:pPr>
    </w:p>
    <w:p>
      <w:pPr>
        <w:pStyle w:val="41"/>
        <w:widowControl/>
        <w:spacing w:before="120"/>
        <w:jc w:val="center"/>
        <w:rPr>
          <w:b/>
          <w:sz w:val="84"/>
        </w:rPr>
      </w:pPr>
      <w:r>
        <w:rPr>
          <w:rFonts w:hint="eastAsia"/>
          <w:b/>
          <w:bCs/>
          <w:spacing w:val="38"/>
          <w:sz w:val="72"/>
          <w:szCs w:val="72"/>
        </w:rPr>
        <w:t>采购</w:t>
      </w:r>
      <w:r>
        <w:rPr>
          <w:b/>
          <w:bCs/>
          <w:spacing w:val="38"/>
          <w:sz w:val="72"/>
          <w:szCs w:val="72"/>
        </w:rPr>
        <w:t>文件</w:t>
      </w:r>
    </w:p>
    <w:p>
      <w:pPr>
        <w:widowControl/>
        <w:spacing w:before="120"/>
        <w:jc w:val="center"/>
        <w:rPr>
          <w:b/>
          <w:sz w:val="28"/>
          <w:szCs w:val="28"/>
        </w:rPr>
      </w:pPr>
    </w:p>
    <w:p>
      <w:pPr>
        <w:widowControl/>
        <w:spacing w:before="120"/>
        <w:jc w:val="center"/>
        <w:rPr>
          <w:b/>
          <w:sz w:val="28"/>
          <w:szCs w:val="28"/>
        </w:rPr>
      </w:pPr>
    </w:p>
    <w:p>
      <w:pPr>
        <w:widowControl/>
        <w:spacing w:before="120"/>
        <w:jc w:val="center"/>
        <w:rPr>
          <w:b/>
        </w:rPr>
      </w:pPr>
    </w:p>
    <w:p>
      <w:pPr>
        <w:pStyle w:val="41"/>
        <w:widowControl/>
        <w:spacing w:before="120"/>
        <w:jc w:val="center"/>
        <w:rPr>
          <w:b/>
        </w:rPr>
      </w:pPr>
    </w:p>
    <w:p>
      <w:pPr>
        <w:pStyle w:val="41"/>
        <w:widowControl/>
        <w:spacing w:before="120"/>
        <w:jc w:val="center"/>
        <w:rPr>
          <w:b/>
        </w:rPr>
      </w:pPr>
    </w:p>
    <w:p>
      <w:pPr>
        <w:pStyle w:val="41"/>
        <w:widowControl/>
        <w:spacing w:before="120"/>
        <w:jc w:val="center"/>
        <w:rPr>
          <w:b/>
        </w:rPr>
      </w:pPr>
    </w:p>
    <w:p>
      <w:pPr>
        <w:pStyle w:val="41"/>
        <w:widowControl/>
        <w:spacing w:before="120"/>
        <w:jc w:val="center"/>
        <w:rPr>
          <w:b/>
        </w:rPr>
      </w:pPr>
    </w:p>
    <w:p>
      <w:pPr>
        <w:pStyle w:val="41"/>
        <w:widowControl/>
        <w:spacing w:before="120"/>
        <w:jc w:val="center"/>
        <w:rPr>
          <w:b/>
        </w:rPr>
      </w:pPr>
    </w:p>
    <w:p>
      <w:pPr>
        <w:pStyle w:val="41"/>
        <w:widowControl/>
        <w:spacing w:before="120"/>
        <w:jc w:val="center"/>
        <w:rPr>
          <w:b/>
        </w:rPr>
      </w:pPr>
    </w:p>
    <w:p>
      <w:pPr>
        <w:pStyle w:val="41"/>
        <w:widowControl/>
        <w:spacing w:before="120"/>
        <w:jc w:val="center"/>
        <w:rPr>
          <w:b/>
        </w:rPr>
      </w:pPr>
    </w:p>
    <w:p>
      <w:pPr>
        <w:pStyle w:val="41"/>
        <w:widowControl/>
        <w:spacing w:before="120"/>
        <w:jc w:val="center"/>
        <w:rPr>
          <w:b/>
        </w:rPr>
      </w:pPr>
    </w:p>
    <w:p>
      <w:pPr>
        <w:pStyle w:val="41"/>
        <w:widowControl/>
        <w:spacing w:before="120"/>
        <w:jc w:val="center"/>
        <w:rPr>
          <w:b/>
        </w:rPr>
      </w:pPr>
    </w:p>
    <w:p>
      <w:pPr>
        <w:spacing w:before="120"/>
        <w:jc w:val="center"/>
        <w:rPr>
          <w:b/>
          <w:sz w:val="36"/>
          <w:szCs w:val="36"/>
        </w:rPr>
      </w:pPr>
      <w:r>
        <w:rPr>
          <w:rFonts w:hint="eastAsia"/>
          <w:b/>
          <w:sz w:val="36"/>
          <w:szCs w:val="36"/>
        </w:rPr>
        <w:t xml:space="preserve">东莞市安之联置业有限公司 </w:t>
      </w:r>
    </w:p>
    <w:p>
      <w:pPr>
        <w:spacing w:before="120"/>
        <w:jc w:val="center"/>
        <w:rPr>
          <w:b/>
          <w:sz w:val="36"/>
          <w:szCs w:val="36"/>
        </w:rPr>
      </w:pPr>
      <w:r>
        <w:rPr>
          <w:b/>
          <w:sz w:val="36"/>
          <w:szCs w:val="36"/>
        </w:rPr>
        <w:t>二〇一</w:t>
      </w:r>
      <w:r>
        <w:rPr>
          <w:rFonts w:hint="eastAsia"/>
          <w:b/>
          <w:sz w:val="36"/>
          <w:szCs w:val="36"/>
        </w:rPr>
        <w:t>九</w:t>
      </w:r>
      <w:r>
        <w:rPr>
          <w:b/>
          <w:sz w:val="36"/>
          <w:szCs w:val="36"/>
        </w:rPr>
        <w:t>年</w:t>
      </w:r>
      <w:r>
        <w:rPr>
          <w:rFonts w:hint="eastAsia"/>
          <w:b/>
          <w:sz w:val="36"/>
          <w:szCs w:val="36"/>
        </w:rPr>
        <w:t>六</w:t>
      </w:r>
      <w:r>
        <w:rPr>
          <w:b/>
          <w:sz w:val="36"/>
          <w:szCs w:val="36"/>
        </w:rPr>
        <w:t>月</w:t>
      </w:r>
      <w:r>
        <w:rPr>
          <w:rFonts w:hint="eastAsia"/>
          <w:b/>
          <w:sz w:val="36"/>
          <w:szCs w:val="36"/>
        </w:rPr>
        <w:t xml:space="preserve"> </w:t>
      </w:r>
    </w:p>
    <w:p>
      <w:pPr>
        <w:spacing w:before="120"/>
        <w:rPr>
          <w:b/>
          <w:sz w:val="24"/>
        </w:rPr>
      </w:pPr>
      <w:r>
        <w:rPr>
          <w:sz w:val="20"/>
          <w:szCs w:val="20"/>
        </w:rPr>
        <w:br w:type="page"/>
      </w:r>
    </w:p>
    <w:p>
      <w:pPr>
        <w:spacing w:before="120"/>
        <w:jc w:val="center"/>
        <w:rPr>
          <w:spacing w:val="20"/>
          <w:sz w:val="44"/>
        </w:rPr>
      </w:pPr>
      <w:r>
        <w:rPr>
          <w:spacing w:val="20"/>
          <w:sz w:val="44"/>
        </w:rPr>
        <w:t>目录</w:t>
      </w:r>
    </w:p>
    <w:p>
      <w:pPr>
        <w:spacing w:before="120"/>
        <w:jc w:val="center"/>
        <w:rPr>
          <w:spacing w:val="20"/>
          <w:sz w:val="44"/>
        </w:rPr>
      </w:pPr>
    </w:p>
    <w:p>
      <w:pPr>
        <w:pStyle w:val="39"/>
        <w:rPr>
          <w:b w:val="0"/>
          <w:bCs w:val="0"/>
          <w:caps w:val="0"/>
          <w:sz w:val="32"/>
          <w:szCs w:val="32"/>
        </w:rPr>
      </w:pPr>
      <w:r>
        <w:rPr>
          <w:sz w:val="32"/>
          <w:szCs w:val="32"/>
        </w:rPr>
        <w:fldChar w:fldCharType="begin"/>
      </w:r>
      <w:r>
        <w:rPr>
          <w:rStyle w:val="58"/>
          <w:color w:val="auto"/>
          <w:sz w:val="32"/>
          <w:szCs w:val="32"/>
        </w:rPr>
        <w:instrText xml:space="preserve"> TOC \o "1-2" \h \z \u </w:instrText>
      </w:r>
      <w:r>
        <w:rPr>
          <w:sz w:val="32"/>
          <w:szCs w:val="32"/>
        </w:rPr>
        <w:fldChar w:fldCharType="separate"/>
      </w:r>
      <w:r>
        <w:fldChar w:fldCharType="begin"/>
      </w:r>
      <w:r>
        <w:instrText xml:space="preserve"> HYPERLINK \l "_Toc523927111" </w:instrText>
      </w:r>
      <w:r>
        <w:fldChar w:fldCharType="separate"/>
      </w:r>
      <w:r>
        <w:rPr>
          <w:rStyle w:val="58"/>
          <w:color w:val="auto"/>
          <w:sz w:val="32"/>
          <w:szCs w:val="32"/>
        </w:rPr>
        <w:t>第一章</w:t>
      </w:r>
      <w:r>
        <w:rPr>
          <w:rStyle w:val="58"/>
          <w:rFonts w:hint="eastAsia"/>
          <w:color w:val="auto"/>
          <w:sz w:val="32"/>
          <w:szCs w:val="32"/>
        </w:rPr>
        <w:t>采购</w:t>
      </w:r>
      <w:r>
        <w:rPr>
          <w:rStyle w:val="58"/>
          <w:color w:val="auto"/>
          <w:sz w:val="32"/>
          <w:szCs w:val="32"/>
        </w:rPr>
        <w:t>公告</w:t>
      </w:r>
      <w:r>
        <w:rPr>
          <w:sz w:val="32"/>
          <w:szCs w:val="32"/>
        </w:rPr>
        <w:tab/>
      </w:r>
      <w:r>
        <w:rPr>
          <w:sz w:val="32"/>
          <w:szCs w:val="32"/>
        </w:rPr>
        <w:fldChar w:fldCharType="begin"/>
      </w:r>
      <w:r>
        <w:rPr>
          <w:sz w:val="32"/>
          <w:szCs w:val="32"/>
        </w:rPr>
        <w:instrText xml:space="preserve"> PAGEREF _Toc523927111 \h </w:instrText>
      </w:r>
      <w:r>
        <w:rPr>
          <w:sz w:val="32"/>
          <w:szCs w:val="32"/>
        </w:rPr>
        <w:fldChar w:fldCharType="separate"/>
      </w:r>
      <w:r>
        <w:rPr>
          <w:sz w:val="32"/>
          <w:szCs w:val="32"/>
        </w:rPr>
        <w:t>1</w:t>
      </w:r>
      <w:r>
        <w:rPr>
          <w:sz w:val="32"/>
          <w:szCs w:val="32"/>
        </w:rPr>
        <w:fldChar w:fldCharType="end"/>
      </w:r>
      <w:r>
        <w:rPr>
          <w:sz w:val="32"/>
          <w:szCs w:val="32"/>
        </w:rPr>
        <w:fldChar w:fldCharType="end"/>
      </w:r>
    </w:p>
    <w:p>
      <w:pPr>
        <w:pStyle w:val="39"/>
        <w:rPr>
          <w:b w:val="0"/>
          <w:bCs w:val="0"/>
          <w:caps w:val="0"/>
          <w:sz w:val="32"/>
          <w:szCs w:val="32"/>
        </w:rPr>
      </w:pPr>
      <w:r>
        <w:fldChar w:fldCharType="begin"/>
      </w:r>
      <w:r>
        <w:instrText xml:space="preserve"> HYPERLINK \l "_Toc523927113" </w:instrText>
      </w:r>
      <w:r>
        <w:fldChar w:fldCharType="separate"/>
      </w:r>
      <w:r>
        <w:rPr>
          <w:rStyle w:val="58"/>
          <w:color w:val="auto"/>
          <w:sz w:val="32"/>
          <w:szCs w:val="32"/>
        </w:rPr>
        <w:t>第二章</w:t>
      </w:r>
      <w:r>
        <w:rPr>
          <w:rStyle w:val="58"/>
          <w:rFonts w:hint="eastAsia"/>
          <w:color w:val="auto"/>
          <w:sz w:val="32"/>
          <w:szCs w:val="32"/>
        </w:rPr>
        <w:t>响应人</w:t>
      </w:r>
      <w:r>
        <w:rPr>
          <w:rStyle w:val="58"/>
          <w:color w:val="auto"/>
          <w:sz w:val="32"/>
          <w:szCs w:val="32"/>
        </w:rPr>
        <w:t>须知</w:t>
      </w:r>
      <w:r>
        <w:rPr>
          <w:sz w:val="32"/>
          <w:szCs w:val="32"/>
        </w:rPr>
        <w:tab/>
      </w:r>
      <w:r>
        <w:rPr>
          <w:sz w:val="32"/>
          <w:szCs w:val="32"/>
        </w:rPr>
        <w:fldChar w:fldCharType="begin"/>
      </w:r>
      <w:r>
        <w:rPr>
          <w:sz w:val="32"/>
          <w:szCs w:val="32"/>
        </w:rPr>
        <w:instrText xml:space="preserve"> PAGEREF _Toc523927113 \h </w:instrText>
      </w:r>
      <w:r>
        <w:rPr>
          <w:sz w:val="32"/>
          <w:szCs w:val="32"/>
        </w:rPr>
        <w:fldChar w:fldCharType="separate"/>
      </w:r>
      <w:r>
        <w:rPr>
          <w:sz w:val="32"/>
          <w:szCs w:val="32"/>
        </w:rPr>
        <w:t>4</w:t>
      </w:r>
      <w:r>
        <w:rPr>
          <w:sz w:val="32"/>
          <w:szCs w:val="32"/>
        </w:rPr>
        <w:fldChar w:fldCharType="end"/>
      </w:r>
      <w:r>
        <w:rPr>
          <w:sz w:val="32"/>
          <w:szCs w:val="32"/>
        </w:rPr>
        <w:fldChar w:fldCharType="end"/>
      </w:r>
    </w:p>
    <w:p>
      <w:pPr>
        <w:pStyle w:val="39"/>
        <w:rPr>
          <w:b w:val="0"/>
          <w:bCs w:val="0"/>
          <w:caps w:val="0"/>
          <w:sz w:val="32"/>
          <w:szCs w:val="32"/>
        </w:rPr>
      </w:pPr>
      <w:r>
        <w:fldChar w:fldCharType="begin"/>
      </w:r>
      <w:r>
        <w:instrText xml:space="preserve"> HYPERLINK \l "_Toc523927114" </w:instrText>
      </w:r>
      <w:r>
        <w:fldChar w:fldCharType="separate"/>
      </w:r>
      <w:r>
        <w:rPr>
          <w:rStyle w:val="58"/>
          <w:color w:val="auto"/>
          <w:sz w:val="32"/>
          <w:szCs w:val="32"/>
        </w:rPr>
        <w:t>第三章评审办法</w:t>
      </w:r>
      <w:r>
        <w:rPr>
          <w:sz w:val="32"/>
          <w:szCs w:val="32"/>
        </w:rPr>
        <w:tab/>
      </w:r>
      <w:r>
        <w:rPr>
          <w:sz w:val="32"/>
          <w:szCs w:val="32"/>
        </w:rPr>
        <w:fldChar w:fldCharType="begin"/>
      </w:r>
      <w:r>
        <w:rPr>
          <w:sz w:val="32"/>
          <w:szCs w:val="32"/>
        </w:rPr>
        <w:instrText xml:space="preserve"> PAGEREF _Toc523927114 \h </w:instrText>
      </w:r>
      <w:r>
        <w:rPr>
          <w:sz w:val="32"/>
          <w:szCs w:val="32"/>
        </w:rPr>
        <w:fldChar w:fldCharType="separate"/>
      </w:r>
      <w:r>
        <w:rPr>
          <w:sz w:val="32"/>
          <w:szCs w:val="32"/>
        </w:rPr>
        <w:t>10</w:t>
      </w:r>
      <w:r>
        <w:rPr>
          <w:sz w:val="32"/>
          <w:szCs w:val="32"/>
        </w:rPr>
        <w:fldChar w:fldCharType="end"/>
      </w:r>
      <w:r>
        <w:rPr>
          <w:sz w:val="32"/>
          <w:szCs w:val="32"/>
        </w:rPr>
        <w:fldChar w:fldCharType="end"/>
      </w:r>
    </w:p>
    <w:p>
      <w:pPr>
        <w:pStyle w:val="39"/>
        <w:rPr>
          <w:b w:val="0"/>
          <w:bCs w:val="0"/>
          <w:caps w:val="0"/>
          <w:sz w:val="32"/>
          <w:szCs w:val="32"/>
        </w:rPr>
      </w:pPr>
      <w:r>
        <w:fldChar w:fldCharType="begin"/>
      </w:r>
      <w:r>
        <w:instrText xml:space="preserve"> HYPERLINK \l "_Toc523927115" </w:instrText>
      </w:r>
      <w:r>
        <w:fldChar w:fldCharType="separate"/>
      </w:r>
      <w:r>
        <w:rPr>
          <w:rStyle w:val="58"/>
          <w:color w:val="auto"/>
          <w:sz w:val="32"/>
          <w:szCs w:val="32"/>
        </w:rPr>
        <w:t>第四章合同条款</w:t>
      </w:r>
      <w:r>
        <w:rPr>
          <w:sz w:val="32"/>
          <w:szCs w:val="32"/>
        </w:rPr>
        <w:tab/>
      </w:r>
      <w:r>
        <w:rPr>
          <w:color w:val="auto"/>
          <w:sz w:val="32"/>
          <w:szCs w:val="32"/>
        </w:rPr>
        <w:fldChar w:fldCharType="begin"/>
      </w:r>
      <w:r>
        <w:rPr>
          <w:color w:val="auto"/>
          <w:sz w:val="32"/>
          <w:szCs w:val="32"/>
        </w:rPr>
        <w:instrText xml:space="preserve"> PAGEREF _Toc523927115 \h </w:instrText>
      </w:r>
      <w:r>
        <w:rPr>
          <w:color w:val="auto"/>
          <w:sz w:val="32"/>
          <w:szCs w:val="32"/>
        </w:rPr>
        <w:fldChar w:fldCharType="separate"/>
      </w:r>
      <w:r>
        <w:rPr>
          <w:color w:val="auto"/>
          <w:sz w:val="32"/>
          <w:szCs w:val="32"/>
        </w:rPr>
        <w:t>19</w:t>
      </w:r>
      <w:r>
        <w:rPr>
          <w:color w:val="auto"/>
          <w:sz w:val="32"/>
          <w:szCs w:val="32"/>
        </w:rPr>
        <w:fldChar w:fldCharType="end"/>
      </w:r>
      <w:r>
        <w:rPr>
          <w:sz w:val="32"/>
          <w:szCs w:val="32"/>
        </w:rPr>
        <w:fldChar w:fldCharType="end"/>
      </w:r>
    </w:p>
    <w:p>
      <w:pPr>
        <w:pStyle w:val="39"/>
        <w:rPr>
          <w:b w:val="0"/>
          <w:bCs w:val="0"/>
          <w:caps w:val="0"/>
          <w:sz w:val="32"/>
          <w:szCs w:val="32"/>
        </w:rPr>
      </w:pPr>
      <w:r>
        <w:fldChar w:fldCharType="begin"/>
      </w:r>
      <w:r>
        <w:instrText xml:space="preserve"> HYPERLINK \l "_Toc523927117" </w:instrText>
      </w:r>
      <w:r>
        <w:fldChar w:fldCharType="separate"/>
      </w:r>
      <w:r>
        <w:rPr>
          <w:rStyle w:val="58"/>
          <w:color w:val="auto"/>
          <w:sz w:val="32"/>
          <w:szCs w:val="32"/>
        </w:rPr>
        <w:t>第</w:t>
      </w:r>
      <w:r>
        <w:rPr>
          <w:rStyle w:val="58"/>
          <w:rFonts w:hint="eastAsia"/>
          <w:color w:val="auto"/>
          <w:sz w:val="32"/>
          <w:szCs w:val="32"/>
        </w:rPr>
        <w:t>五</w:t>
      </w:r>
      <w:r>
        <w:rPr>
          <w:rStyle w:val="58"/>
          <w:color w:val="auto"/>
          <w:sz w:val="32"/>
          <w:szCs w:val="32"/>
        </w:rPr>
        <w:t>章</w:t>
      </w:r>
      <w:r>
        <w:rPr>
          <w:rStyle w:val="58"/>
          <w:rFonts w:hint="eastAsia"/>
          <w:color w:val="auto"/>
          <w:sz w:val="32"/>
          <w:szCs w:val="32"/>
        </w:rPr>
        <w:t>响应</w:t>
      </w:r>
      <w:r>
        <w:rPr>
          <w:rStyle w:val="58"/>
          <w:color w:val="auto"/>
          <w:sz w:val="32"/>
          <w:szCs w:val="32"/>
        </w:rPr>
        <w:t>文件格式</w:t>
      </w:r>
      <w:r>
        <w:rPr>
          <w:sz w:val="32"/>
          <w:szCs w:val="32"/>
        </w:rPr>
        <w:tab/>
      </w:r>
      <w:r>
        <w:rPr>
          <w:color w:val="000000" w:themeColor="text1"/>
          <w:sz w:val="32"/>
          <w:szCs w:val="32"/>
          <w14:textFill>
            <w14:solidFill>
              <w14:schemeClr w14:val="tx1"/>
            </w14:solidFill>
          </w14:textFill>
        </w:rPr>
        <w:fldChar w:fldCharType="begin"/>
      </w:r>
      <w:r>
        <w:rPr>
          <w:color w:val="000000" w:themeColor="text1"/>
          <w:sz w:val="32"/>
          <w:szCs w:val="32"/>
          <w14:textFill>
            <w14:solidFill>
              <w14:schemeClr w14:val="tx1"/>
            </w14:solidFill>
          </w14:textFill>
        </w:rPr>
        <w:instrText xml:space="preserve"> PAGEREF _Toc523927117 \h </w:instrText>
      </w:r>
      <w:r>
        <w:rPr>
          <w:color w:val="000000" w:themeColor="text1"/>
          <w:sz w:val="32"/>
          <w:szCs w:val="32"/>
          <w14:textFill>
            <w14:solidFill>
              <w14:schemeClr w14:val="tx1"/>
            </w14:solidFill>
          </w14:textFill>
        </w:rPr>
        <w:fldChar w:fldCharType="separate"/>
      </w:r>
      <w:r>
        <w:rPr>
          <w:color w:val="000000" w:themeColor="text1"/>
          <w:sz w:val="32"/>
          <w:szCs w:val="32"/>
          <w14:textFill>
            <w14:solidFill>
              <w14:schemeClr w14:val="tx1"/>
            </w14:solidFill>
          </w14:textFill>
        </w:rPr>
        <w:t>27</w:t>
      </w:r>
      <w:r>
        <w:rPr>
          <w:color w:val="000000" w:themeColor="text1"/>
          <w:sz w:val="32"/>
          <w:szCs w:val="32"/>
          <w14:textFill>
            <w14:solidFill>
              <w14:schemeClr w14:val="tx1"/>
            </w14:solidFill>
          </w14:textFill>
        </w:rPr>
        <w:fldChar w:fldCharType="end"/>
      </w:r>
      <w:r>
        <w:rPr>
          <w:color w:val="000000" w:themeColor="text1"/>
          <w:sz w:val="32"/>
          <w:szCs w:val="32"/>
          <w14:textFill>
            <w14:solidFill>
              <w14:schemeClr w14:val="tx1"/>
            </w14:solidFill>
          </w14:textFill>
        </w:rPr>
        <w:fldChar w:fldCharType="end"/>
      </w:r>
    </w:p>
    <w:p>
      <w:pPr>
        <w:pStyle w:val="39"/>
        <w:spacing w:line="240" w:lineRule="auto"/>
        <w:outlineLvl w:val="0"/>
        <w:rPr>
          <w:sz w:val="29"/>
          <w:szCs w:val="29"/>
        </w:rPr>
        <w:sectPr>
          <w:footerReference r:id="rId7" w:type="first"/>
          <w:headerReference r:id="rId3" w:type="default"/>
          <w:footerReference r:id="rId5" w:type="default"/>
          <w:headerReference r:id="rId4" w:type="even"/>
          <w:footerReference r:id="rId6" w:type="even"/>
          <w:footnotePr>
            <w:numFmt w:val="decimalEnclosedCircleChinese"/>
            <w:numRestart w:val="eachPage"/>
          </w:footnotePr>
          <w:pgSz w:w="11906" w:h="16838"/>
          <w:pgMar w:top="1418" w:right="1304" w:bottom="1418" w:left="1588" w:header="851" w:footer="851" w:gutter="0"/>
          <w:pgNumType w:start="0"/>
          <w:cols w:space="720" w:num="1"/>
          <w:titlePg/>
          <w:docGrid w:linePitch="312" w:charSpace="0"/>
        </w:sectPr>
      </w:pPr>
      <w:r>
        <w:rPr>
          <w:sz w:val="32"/>
          <w:szCs w:val="32"/>
        </w:rPr>
        <w:fldChar w:fldCharType="end"/>
      </w:r>
    </w:p>
    <w:p>
      <w:pPr>
        <w:topLinePunct/>
        <w:ind w:right="31" w:rightChars="15"/>
        <w:jc w:val="center"/>
        <w:outlineLvl w:val="0"/>
        <w:rPr>
          <w:sz w:val="36"/>
          <w:szCs w:val="36"/>
        </w:rPr>
      </w:pPr>
    </w:p>
    <w:p>
      <w:pPr>
        <w:topLinePunct/>
        <w:ind w:right="31" w:rightChars="15"/>
        <w:jc w:val="center"/>
        <w:outlineLvl w:val="0"/>
        <w:rPr>
          <w:sz w:val="36"/>
          <w:szCs w:val="36"/>
        </w:rPr>
      </w:pPr>
    </w:p>
    <w:p>
      <w:pPr>
        <w:topLinePunct/>
        <w:ind w:right="31" w:rightChars="15"/>
        <w:jc w:val="center"/>
        <w:outlineLvl w:val="0"/>
        <w:rPr>
          <w:sz w:val="36"/>
          <w:szCs w:val="36"/>
        </w:rPr>
      </w:pPr>
    </w:p>
    <w:p>
      <w:pPr>
        <w:topLinePunct/>
        <w:ind w:right="31" w:rightChars="15"/>
        <w:jc w:val="center"/>
        <w:outlineLvl w:val="0"/>
        <w:rPr>
          <w:sz w:val="36"/>
          <w:szCs w:val="36"/>
        </w:rPr>
      </w:pPr>
    </w:p>
    <w:p>
      <w:pPr>
        <w:topLinePunct/>
        <w:ind w:right="31" w:rightChars="15"/>
        <w:jc w:val="center"/>
        <w:outlineLvl w:val="0"/>
        <w:rPr>
          <w:sz w:val="36"/>
          <w:szCs w:val="36"/>
        </w:rPr>
      </w:pPr>
    </w:p>
    <w:p>
      <w:pPr>
        <w:topLinePunct/>
        <w:ind w:right="31" w:rightChars="15"/>
        <w:jc w:val="center"/>
        <w:outlineLvl w:val="0"/>
        <w:rPr>
          <w:sz w:val="36"/>
          <w:szCs w:val="36"/>
        </w:rPr>
      </w:pPr>
    </w:p>
    <w:p>
      <w:pPr>
        <w:topLinePunct/>
        <w:ind w:right="31" w:rightChars="15"/>
        <w:jc w:val="center"/>
        <w:outlineLvl w:val="0"/>
        <w:rPr>
          <w:sz w:val="36"/>
          <w:szCs w:val="36"/>
        </w:rPr>
      </w:pPr>
    </w:p>
    <w:p>
      <w:pPr>
        <w:topLinePunct/>
        <w:ind w:right="31" w:rightChars="15"/>
        <w:jc w:val="center"/>
        <w:outlineLvl w:val="0"/>
        <w:rPr>
          <w:sz w:val="36"/>
          <w:szCs w:val="36"/>
        </w:rPr>
      </w:pPr>
    </w:p>
    <w:p>
      <w:pPr>
        <w:topLinePunct/>
        <w:ind w:right="31" w:rightChars="15"/>
        <w:jc w:val="center"/>
        <w:outlineLvl w:val="0"/>
        <w:rPr>
          <w:sz w:val="36"/>
          <w:szCs w:val="36"/>
        </w:rPr>
      </w:pPr>
    </w:p>
    <w:p>
      <w:pPr>
        <w:topLinePunct/>
        <w:ind w:right="31" w:rightChars="15"/>
        <w:jc w:val="center"/>
        <w:outlineLvl w:val="0"/>
        <w:rPr>
          <w:sz w:val="36"/>
          <w:szCs w:val="36"/>
        </w:rPr>
      </w:pPr>
    </w:p>
    <w:p>
      <w:pPr>
        <w:topLinePunct/>
        <w:ind w:right="31" w:rightChars="15"/>
        <w:jc w:val="center"/>
        <w:outlineLvl w:val="0"/>
        <w:rPr>
          <w:sz w:val="36"/>
          <w:szCs w:val="36"/>
        </w:rPr>
      </w:pPr>
    </w:p>
    <w:p>
      <w:pPr>
        <w:topLinePunct/>
        <w:ind w:right="31" w:rightChars="15"/>
        <w:jc w:val="center"/>
        <w:outlineLvl w:val="0"/>
        <w:rPr>
          <w:sz w:val="36"/>
          <w:szCs w:val="36"/>
        </w:rPr>
      </w:pPr>
    </w:p>
    <w:p>
      <w:pPr>
        <w:numPr>
          <w:ilvl w:val="0"/>
          <w:numId w:val="2"/>
        </w:numPr>
        <w:spacing w:before="120"/>
        <w:jc w:val="center"/>
        <w:outlineLvl w:val="0"/>
        <w:rPr>
          <w:sz w:val="36"/>
          <w:szCs w:val="36"/>
        </w:rPr>
      </w:pPr>
      <w:bookmarkStart w:id="0" w:name="_Toc241226994"/>
      <w:bookmarkStart w:id="1" w:name="_Toc241227268"/>
      <w:bookmarkStart w:id="2" w:name="_Toc523927111"/>
      <w:r>
        <w:rPr>
          <w:rFonts w:hint="eastAsia"/>
          <w:sz w:val="36"/>
          <w:szCs w:val="36"/>
        </w:rPr>
        <w:t xml:space="preserve"> 采购</w:t>
      </w:r>
      <w:r>
        <w:rPr>
          <w:sz w:val="36"/>
          <w:szCs w:val="36"/>
        </w:rPr>
        <w:t>公</w:t>
      </w:r>
      <w:bookmarkEnd w:id="0"/>
      <w:bookmarkEnd w:id="1"/>
      <w:r>
        <w:rPr>
          <w:sz w:val="36"/>
          <w:szCs w:val="36"/>
        </w:rPr>
        <w:t>告</w:t>
      </w:r>
      <w:bookmarkEnd w:id="2"/>
    </w:p>
    <w:p>
      <w:pPr>
        <w:spacing w:before="120"/>
        <w:jc w:val="center"/>
        <w:outlineLvl w:val="1"/>
        <w:rPr>
          <w:sz w:val="36"/>
          <w:szCs w:val="36"/>
        </w:rPr>
        <w:sectPr>
          <w:headerReference r:id="rId8" w:type="first"/>
          <w:footerReference r:id="rId10" w:type="first"/>
          <w:footerReference r:id="rId9" w:type="default"/>
          <w:footnotePr>
            <w:numFmt w:val="decimalEnclosedCircleChinese"/>
            <w:numRestart w:val="eachPage"/>
          </w:footnotePr>
          <w:pgSz w:w="11906" w:h="16838"/>
          <w:pgMar w:top="1418" w:right="1304" w:bottom="1418" w:left="1588" w:header="851" w:footer="851" w:gutter="0"/>
          <w:pgNumType w:start="1"/>
          <w:cols w:space="720" w:num="1"/>
          <w:titlePg/>
          <w:docGrid w:linePitch="312" w:charSpace="0"/>
        </w:sectPr>
      </w:pPr>
    </w:p>
    <w:p>
      <w:pPr>
        <w:tabs>
          <w:tab w:val="center" w:pos="4507"/>
          <w:tab w:val="left" w:pos="6411"/>
        </w:tabs>
        <w:spacing w:before="120"/>
        <w:jc w:val="center"/>
        <w:rPr>
          <w:b/>
          <w:snapToGrid w:val="0"/>
          <w:kern w:val="0"/>
          <w:sz w:val="32"/>
          <w:szCs w:val="36"/>
        </w:rPr>
      </w:pPr>
      <w:r>
        <w:rPr>
          <w:rFonts w:hint="eastAsia"/>
          <w:b/>
          <w:snapToGrid w:val="0"/>
          <w:kern w:val="0"/>
          <w:sz w:val="32"/>
          <w:szCs w:val="36"/>
        </w:rPr>
        <w:t>安联湾区时代项目总承包工程造价咨询服务采购</w:t>
      </w:r>
      <w:r>
        <w:rPr>
          <w:b/>
          <w:snapToGrid w:val="0"/>
          <w:kern w:val="0"/>
          <w:sz w:val="32"/>
          <w:szCs w:val="36"/>
        </w:rPr>
        <w:t>公告</w:t>
      </w:r>
    </w:p>
    <w:p>
      <w:pPr>
        <w:ind w:firstLine="480" w:firstLineChars="200"/>
        <w:rPr>
          <w:sz w:val="24"/>
        </w:rPr>
      </w:pPr>
    </w:p>
    <w:p>
      <w:pPr>
        <w:ind w:firstLine="480" w:firstLineChars="200"/>
        <w:rPr>
          <w:sz w:val="24"/>
        </w:rPr>
      </w:pPr>
      <w:r>
        <w:rPr>
          <w:rFonts w:hint="eastAsia"/>
          <w:sz w:val="24"/>
        </w:rPr>
        <w:t>“安联湾区时代项目总承包工程造价咨询服务”</w:t>
      </w:r>
      <w:r>
        <w:rPr>
          <w:sz w:val="24"/>
        </w:rPr>
        <w:t>项目</w:t>
      </w:r>
      <w:r>
        <w:rPr>
          <w:rFonts w:hint="eastAsia"/>
          <w:sz w:val="24"/>
        </w:rPr>
        <w:t>，采购人为</w:t>
      </w:r>
      <w:r>
        <w:rPr>
          <w:rFonts w:hint="eastAsia"/>
          <w:sz w:val="24"/>
          <w:u w:val="single"/>
        </w:rPr>
        <w:t>东莞市安之联置业有限公司</w:t>
      </w:r>
      <w:r>
        <w:rPr>
          <w:rFonts w:hint="eastAsia"/>
          <w:sz w:val="24"/>
        </w:rPr>
        <w:t>。</w:t>
      </w:r>
      <w:r>
        <w:rPr>
          <w:sz w:val="24"/>
        </w:rPr>
        <w:t>现对</w:t>
      </w:r>
      <w:r>
        <w:rPr>
          <w:rFonts w:hint="eastAsia"/>
          <w:sz w:val="24"/>
        </w:rPr>
        <w:t>本项目</w:t>
      </w:r>
      <w:r>
        <w:rPr>
          <w:sz w:val="24"/>
        </w:rPr>
        <w:t>进行公开</w:t>
      </w:r>
      <w:r>
        <w:rPr>
          <w:rFonts w:hint="eastAsia"/>
          <w:sz w:val="24"/>
        </w:rPr>
        <w:t>询比采购</w:t>
      </w:r>
      <w:r>
        <w:rPr>
          <w:sz w:val="24"/>
        </w:rPr>
        <w:t>，欢迎符合条件的</w:t>
      </w:r>
      <w:r>
        <w:rPr>
          <w:rFonts w:hint="eastAsia"/>
          <w:sz w:val="24"/>
        </w:rPr>
        <w:t>响应人</w:t>
      </w:r>
      <w:r>
        <w:rPr>
          <w:sz w:val="24"/>
        </w:rPr>
        <w:t>参加。</w:t>
      </w:r>
    </w:p>
    <w:p>
      <w:pPr>
        <w:spacing w:before="120"/>
        <w:jc w:val="left"/>
        <w:rPr>
          <w:b/>
          <w:sz w:val="24"/>
        </w:rPr>
      </w:pPr>
      <w:r>
        <w:rPr>
          <w:b/>
          <w:sz w:val="24"/>
        </w:rPr>
        <w:t>一、项目概况</w:t>
      </w:r>
      <w:r>
        <w:rPr>
          <w:rFonts w:hint="eastAsia"/>
          <w:b/>
          <w:sz w:val="24"/>
        </w:rPr>
        <w:t>与采购</w:t>
      </w:r>
      <w:r>
        <w:rPr>
          <w:b/>
          <w:sz w:val="24"/>
        </w:rPr>
        <w:t>内容</w:t>
      </w:r>
    </w:p>
    <w:p>
      <w:pPr>
        <w:ind w:firstLine="480" w:firstLineChars="200"/>
        <w:rPr>
          <w:sz w:val="24"/>
        </w:rPr>
      </w:pPr>
      <w:r>
        <w:rPr>
          <w:rFonts w:hint="eastAsia"/>
          <w:sz w:val="24"/>
        </w:rPr>
        <w:t>1、项目名称：安联湾区时代项目总承包工程造价咨询服务</w:t>
      </w:r>
    </w:p>
    <w:p>
      <w:pPr>
        <w:ind w:firstLine="480" w:firstLineChars="200"/>
        <w:rPr>
          <w:sz w:val="24"/>
        </w:rPr>
      </w:pPr>
      <w:r>
        <w:rPr>
          <w:rFonts w:hint="eastAsia"/>
          <w:sz w:val="24"/>
        </w:rPr>
        <w:t>2、项目概况：</w:t>
      </w:r>
      <w:r>
        <w:rPr>
          <w:rFonts w:hint="eastAsia" w:cs="仿宋_GB2312"/>
          <w:color w:val="000000"/>
          <w:u w:val="single"/>
        </w:rPr>
        <w:t xml:space="preserve"> </w:t>
      </w:r>
      <w:r>
        <w:rPr>
          <w:rFonts w:hint="eastAsia"/>
          <w:sz w:val="24"/>
        </w:rPr>
        <w:t>安联湾区时代项目位于广东省东莞市高埗镇，项目</w:t>
      </w:r>
      <w:r>
        <w:rPr>
          <w:rFonts w:hint="eastAsia" w:ascii="Times New Roman" w:hAnsi="Times New Roman"/>
          <w:sz w:val="24"/>
          <w:szCs w:val="24"/>
          <w:u w:val="none"/>
        </w:rPr>
        <w:t>用地面积约</w:t>
      </w:r>
      <w:r>
        <w:rPr>
          <w:rFonts w:ascii="Times New Roman" w:hAnsi="Times New Roman"/>
          <w:sz w:val="24"/>
          <w:szCs w:val="24"/>
          <w:u w:val="none"/>
        </w:rPr>
        <w:t>48911.7平方米，建筑面积约170000平方米,建筑高度≤80米，包括7栋</w:t>
      </w:r>
      <w:r>
        <w:rPr>
          <w:rFonts w:hint="eastAsia" w:ascii="Times New Roman" w:hAnsi="Times New Roman"/>
          <w:sz w:val="24"/>
          <w:szCs w:val="24"/>
          <w:u w:val="none"/>
        </w:rPr>
        <w:t>精装修高层住宅楼（</w:t>
      </w:r>
      <w:r>
        <w:rPr>
          <w:rFonts w:ascii="Times New Roman" w:hAnsi="Times New Roman"/>
          <w:sz w:val="24"/>
          <w:szCs w:val="24"/>
          <w:u w:val="none"/>
        </w:rPr>
        <w:t>26层）、4栋</w:t>
      </w:r>
      <w:r>
        <w:rPr>
          <w:rFonts w:hint="eastAsia" w:ascii="Times New Roman" w:hAnsi="Times New Roman"/>
          <w:sz w:val="24"/>
          <w:szCs w:val="24"/>
          <w:u w:val="none"/>
        </w:rPr>
        <w:t>精装修小高层住宅楼（</w:t>
      </w:r>
      <w:r>
        <w:rPr>
          <w:rFonts w:ascii="Times New Roman" w:hAnsi="Times New Roman"/>
          <w:sz w:val="24"/>
          <w:szCs w:val="24"/>
          <w:u w:val="none"/>
        </w:rPr>
        <w:t>18层）、12栋多层住宅楼（4层）及多层商业及配套公建（1-2层）和地下室工程（1层，局部2层，含人防）,最终以工程规划许可证的工程建设规模为准</w:t>
      </w:r>
      <w:r>
        <w:rPr>
          <w:rFonts w:hint="eastAsia" w:ascii="Times New Roman" w:hAnsi="Times New Roman"/>
          <w:sz w:val="24"/>
          <w:szCs w:val="24"/>
          <w:u w:val="none"/>
        </w:rPr>
        <w:t>。</w:t>
      </w:r>
      <w:r>
        <w:rPr>
          <w:rFonts w:hint="eastAsia"/>
          <w:sz w:val="24"/>
        </w:rPr>
        <w:t>本项目建设资金来自</w:t>
      </w:r>
      <w:r>
        <w:rPr>
          <w:sz w:val="24"/>
          <w:u w:val="none"/>
        </w:rPr>
        <w:t xml:space="preserve"> </w:t>
      </w:r>
      <w:r>
        <w:rPr>
          <w:rFonts w:hint="eastAsia"/>
          <w:sz w:val="24"/>
          <w:u w:val="none"/>
        </w:rPr>
        <w:t>国有资金</w:t>
      </w:r>
      <w:r>
        <w:rPr>
          <w:sz w:val="24"/>
          <w:u w:val="none"/>
        </w:rPr>
        <w:t xml:space="preserve"> </w:t>
      </w:r>
      <w:r>
        <w:rPr>
          <w:rFonts w:hint="eastAsia"/>
          <w:sz w:val="24"/>
        </w:rPr>
        <w:t>，项目出资比例为100% 。本项目总承包工程预估投资额为5.74亿元。</w:t>
      </w:r>
    </w:p>
    <w:p>
      <w:pPr>
        <w:ind w:firstLine="480" w:firstLineChars="200"/>
        <w:rPr>
          <w:sz w:val="24"/>
        </w:rPr>
      </w:pPr>
      <w:r>
        <w:rPr>
          <w:rFonts w:hint="eastAsia"/>
          <w:sz w:val="24"/>
        </w:rPr>
        <w:t>3</w:t>
      </w:r>
      <w:r>
        <w:rPr>
          <w:sz w:val="24"/>
        </w:rPr>
        <w:t>、</w:t>
      </w:r>
      <w:r>
        <w:rPr>
          <w:rFonts w:hint="eastAsia"/>
          <w:sz w:val="24"/>
        </w:rPr>
        <w:t>本项目采购人</w:t>
      </w:r>
      <w:r>
        <w:rPr>
          <w:sz w:val="24"/>
        </w:rPr>
        <w:t>：</w:t>
      </w:r>
      <w:r>
        <w:rPr>
          <w:rFonts w:hint="eastAsia"/>
          <w:sz w:val="24"/>
          <w:u w:val="single"/>
        </w:rPr>
        <w:t>东莞市安之联置业有限公司</w:t>
      </w:r>
    </w:p>
    <w:p>
      <w:pPr>
        <w:ind w:firstLine="480" w:firstLineChars="200"/>
        <w:rPr>
          <w:sz w:val="24"/>
        </w:rPr>
      </w:pPr>
      <w:r>
        <w:rPr>
          <w:rFonts w:hint="eastAsia"/>
          <w:sz w:val="24"/>
        </w:rPr>
        <w:t>4、采购类别：服务类</w:t>
      </w:r>
    </w:p>
    <w:p>
      <w:pPr>
        <w:spacing w:line="360" w:lineRule="auto"/>
        <w:ind w:firstLine="480" w:firstLineChars="200"/>
        <w:rPr>
          <w:rFonts w:ascii="Times New Roman" w:hAnsi="Times New Roman" w:eastAsia="宋体"/>
          <w:sz w:val="24"/>
          <w:szCs w:val="24"/>
        </w:rPr>
      </w:pPr>
      <w:r>
        <w:rPr>
          <w:rFonts w:hint="eastAsia"/>
          <w:sz w:val="24"/>
        </w:rPr>
        <w:t>5、采购范围：安联湾区时代项目总承包工程工程量清单、招标控制价编制及复核工作，</w:t>
      </w:r>
      <w:r>
        <w:rPr>
          <w:rFonts w:hint="eastAsia" w:ascii="Times New Roman" w:eastAsia="宋体"/>
          <w:sz w:val="24"/>
          <w:szCs w:val="24"/>
        </w:rPr>
        <w:t>具体内容详见</w:t>
      </w:r>
      <w:r>
        <w:rPr>
          <w:rFonts w:hint="eastAsia"/>
          <w:sz w:val="24"/>
        </w:rPr>
        <w:t>合同</w:t>
      </w:r>
      <w:r>
        <w:rPr>
          <w:rFonts w:hint="eastAsia" w:ascii="Times New Roman" w:eastAsia="宋体"/>
          <w:sz w:val="24"/>
          <w:szCs w:val="24"/>
        </w:rPr>
        <w:t>。</w:t>
      </w:r>
    </w:p>
    <w:p>
      <w:pPr>
        <w:spacing w:line="360" w:lineRule="auto"/>
        <w:ind w:firstLine="480" w:firstLineChars="200"/>
        <w:rPr>
          <w:rFonts w:cs="仿宋_GB2312"/>
          <w:color w:val="000000"/>
        </w:rPr>
      </w:pPr>
      <w:r>
        <w:rPr>
          <w:rFonts w:hint="eastAsia"/>
          <w:sz w:val="24"/>
        </w:rPr>
        <w:t>6</w:t>
      </w:r>
      <w:r>
        <w:rPr>
          <w:sz w:val="24"/>
        </w:rPr>
        <w:t>、</w:t>
      </w:r>
      <w:r>
        <w:rPr>
          <w:rFonts w:hint="eastAsia"/>
          <w:sz w:val="24"/>
        </w:rPr>
        <w:t>工期要求</w:t>
      </w:r>
      <w:r>
        <w:rPr>
          <w:sz w:val="24"/>
        </w:rPr>
        <w:t>：</w:t>
      </w:r>
      <w:r>
        <w:rPr>
          <w:rFonts w:hint="eastAsia" w:cs="仿宋_GB2312"/>
          <w:color w:val="000000"/>
          <w:sz w:val="24"/>
        </w:rPr>
        <w:t>乙方自收到甲方提供的完整咨询资料后</w:t>
      </w:r>
      <w:r>
        <w:rPr>
          <w:rFonts w:cs="仿宋_GB2312"/>
          <w:color w:val="000000"/>
          <w:sz w:val="24"/>
          <w:u w:val="single"/>
        </w:rPr>
        <w:t xml:space="preserve"> 15 </w:t>
      </w:r>
      <w:r>
        <w:rPr>
          <w:rFonts w:hint="eastAsia" w:cs="仿宋_GB2312"/>
          <w:color w:val="000000"/>
          <w:sz w:val="24"/>
        </w:rPr>
        <w:t>日历天内完成工程量清单编制并向甲方提交工作成果；乙方自清单确定后</w:t>
      </w:r>
      <w:r>
        <w:rPr>
          <w:rFonts w:cs="仿宋_GB2312"/>
          <w:color w:val="000000"/>
          <w:sz w:val="24"/>
          <w:u w:val="single"/>
        </w:rPr>
        <w:t xml:space="preserve"> 3 </w:t>
      </w:r>
      <w:r>
        <w:rPr>
          <w:rFonts w:hint="eastAsia" w:cs="仿宋_GB2312"/>
          <w:color w:val="000000"/>
          <w:sz w:val="24"/>
        </w:rPr>
        <w:t>日历天内完成控制价编制并向甲方提交工作成果。</w:t>
      </w:r>
    </w:p>
    <w:p>
      <w:pPr>
        <w:spacing w:before="0" w:beforeLines="-2147483648" w:after="0" w:afterLines="-2147483648"/>
        <w:ind w:firstLine="0" w:firstLineChars="0"/>
        <w:jc w:val="left"/>
        <w:rPr>
          <w:b/>
          <w:sz w:val="24"/>
        </w:rPr>
      </w:pPr>
      <w:r>
        <w:rPr>
          <w:b/>
          <w:sz w:val="24"/>
        </w:rPr>
        <w:t>二、资格要求</w:t>
      </w:r>
    </w:p>
    <w:p>
      <w:pPr>
        <w:ind w:firstLine="480" w:firstLineChars="200"/>
        <w:rPr>
          <w:sz w:val="24"/>
        </w:rPr>
      </w:pPr>
      <w:r>
        <w:rPr>
          <w:rFonts w:hint="eastAsia"/>
          <w:sz w:val="24"/>
        </w:rPr>
        <w:t>1、响应人</w:t>
      </w:r>
    </w:p>
    <w:p>
      <w:pPr>
        <w:ind w:firstLine="480" w:firstLineChars="200"/>
        <w:rPr>
          <w:sz w:val="24"/>
        </w:rPr>
      </w:pPr>
      <w:r>
        <w:rPr>
          <w:rFonts w:hint="eastAsia"/>
          <w:sz w:val="24"/>
        </w:rPr>
        <w:t>1.1、须是经中华人民共和国工商注册的独立法人，具有有效的营业执照；</w:t>
      </w:r>
    </w:p>
    <w:p>
      <w:pPr>
        <w:ind w:firstLine="480" w:firstLineChars="200"/>
        <w:rPr>
          <w:sz w:val="24"/>
        </w:rPr>
      </w:pPr>
      <w:r>
        <w:rPr>
          <w:rFonts w:hint="eastAsia"/>
          <w:sz w:val="24"/>
        </w:rPr>
        <w:t>1.2、须具有住房与城乡建设部核发的工程造价咨询甲级资质；</w:t>
      </w:r>
    </w:p>
    <w:p>
      <w:pPr>
        <w:ind w:firstLine="480" w:firstLineChars="200"/>
        <w:rPr>
          <w:sz w:val="24"/>
        </w:rPr>
      </w:pPr>
      <w:r>
        <w:rPr>
          <w:rFonts w:hint="eastAsia"/>
          <w:sz w:val="24"/>
        </w:rPr>
        <w:t>1.3、近三年来具有2个类似业绩。</w:t>
      </w:r>
    </w:p>
    <w:p>
      <w:pPr>
        <w:ind w:firstLine="480" w:firstLineChars="200"/>
        <w:rPr>
          <w:sz w:val="24"/>
        </w:rPr>
      </w:pPr>
      <w:r>
        <w:rPr>
          <w:rFonts w:hint="eastAsia"/>
          <w:sz w:val="24"/>
        </w:rPr>
        <w:t>2、拟派项目负责人</w:t>
      </w:r>
    </w:p>
    <w:p>
      <w:pPr>
        <w:ind w:firstLine="480" w:firstLineChars="200"/>
        <w:rPr>
          <w:sz w:val="24"/>
        </w:rPr>
      </w:pPr>
      <w:r>
        <w:rPr>
          <w:rFonts w:hint="eastAsia"/>
          <w:sz w:val="24"/>
        </w:rPr>
        <w:t>2.1、项目负责人：1名，具有建设部土建或安装专业注册造价工程师执业资格证书，且在本企业注册一年以上，并提供在本单位（包含其分公司）连续缴纳一年的社会保险证明（自2018年1月份算起，含1月份）；</w:t>
      </w:r>
    </w:p>
    <w:p>
      <w:pPr>
        <w:ind w:firstLine="480" w:firstLineChars="200"/>
        <w:rPr>
          <w:sz w:val="24"/>
        </w:rPr>
      </w:pPr>
      <w:r>
        <w:rPr>
          <w:rFonts w:hint="eastAsia"/>
          <w:sz w:val="24"/>
        </w:rPr>
        <w:t xml:space="preserve">2.2、近三年来在1个类似业绩中担任过项目负责人。 </w:t>
      </w:r>
    </w:p>
    <w:p>
      <w:pPr>
        <w:ind w:firstLine="480" w:firstLineChars="200"/>
        <w:rPr>
          <w:sz w:val="24"/>
        </w:rPr>
      </w:pPr>
      <w:r>
        <w:rPr>
          <w:rFonts w:hint="eastAsia"/>
          <w:sz w:val="24"/>
        </w:rPr>
        <w:t>3、本项目不接受联合体投标。</w:t>
      </w:r>
    </w:p>
    <w:p>
      <w:pPr>
        <w:ind w:firstLine="480" w:firstLineChars="200"/>
        <w:rPr>
          <w:sz w:val="24"/>
        </w:rPr>
      </w:pPr>
      <w:r>
        <w:rPr>
          <w:rFonts w:hint="eastAsia"/>
          <w:sz w:val="24"/>
        </w:rPr>
        <w:t>4、单位负责人为同一人或者存在控股、管理关系的不同单位，不得同时参加同一采购项目投标，违反规定的，相关投标均无效。</w:t>
      </w:r>
    </w:p>
    <w:p>
      <w:pPr>
        <w:ind w:firstLine="480" w:firstLineChars="200"/>
        <w:rPr>
          <w:sz w:val="24"/>
        </w:rPr>
      </w:pPr>
      <w:r>
        <w:rPr>
          <w:rFonts w:hint="eastAsia"/>
          <w:sz w:val="24"/>
        </w:rPr>
        <w:t>5、响应人按采购文件要求提供了无行贿犯罪承诺。</w:t>
      </w:r>
    </w:p>
    <w:p>
      <w:pPr>
        <w:spacing w:before="120"/>
        <w:jc w:val="left"/>
        <w:rPr>
          <w:b/>
          <w:sz w:val="24"/>
        </w:rPr>
      </w:pPr>
      <w:r>
        <w:rPr>
          <w:b/>
          <w:sz w:val="24"/>
        </w:rPr>
        <w:t>三、</w:t>
      </w:r>
      <w:r>
        <w:rPr>
          <w:rFonts w:hint="eastAsia"/>
          <w:b/>
          <w:sz w:val="24"/>
        </w:rPr>
        <w:t>采购</w:t>
      </w:r>
      <w:r>
        <w:rPr>
          <w:b/>
          <w:sz w:val="24"/>
        </w:rPr>
        <w:t>文件</w:t>
      </w:r>
      <w:r>
        <w:rPr>
          <w:rFonts w:hint="eastAsia"/>
          <w:b/>
          <w:sz w:val="24"/>
        </w:rPr>
        <w:t>的</w:t>
      </w:r>
      <w:r>
        <w:rPr>
          <w:b/>
          <w:sz w:val="24"/>
        </w:rPr>
        <w:t>获取：</w:t>
      </w:r>
    </w:p>
    <w:p>
      <w:pPr>
        <w:pStyle w:val="49"/>
        <w:ind w:firstLine="320"/>
      </w:pPr>
      <w:r>
        <w:rPr>
          <w:rFonts w:hint="eastAsia"/>
        </w:rPr>
        <w:t>有意向参选人可在</w:t>
      </w:r>
      <w:r>
        <w:rPr>
          <w:rFonts w:hint="eastAsia"/>
          <w:szCs w:val="21"/>
        </w:rPr>
        <w:t>安徽安联高速公路有限公司网站（</w:t>
      </w:r>
      <w:r>
        <w:rPr>
          <w:rFonts w:hint="eastAsia"/>
          <w:szCs w:val="21"/>
          <w:u w:val="single"/>
        </w:rPr>
        <w:t>http://www.ahanlian.com/）</w:t>
      </w:r>
      <w:r>
        <w:rPr>
          <w:rFonts w:hint="eastAsia"/>
          <w:szCs w:val="21"/>
        </w:rPr>
        <w:t>自行下载采购文件</w:t>
      </w:r>
      <w:r>
        <w:rPr>
          <w:szCs w:val="21"/>
        </w:rPr>
        <w:t>。</w:t>
      </w:r>
    </w:p>
    <w:p>
      <w:pPr>
        <w:autoSpaceDE w:val="0"/>
        <w:autoSpaceDN w:val="0"/>
        <w:adjustRightInd w:val="0"/>
        <w:spacing w:before="120" w:after="120" w:afterLines="50"/>
        <w:jc w:val="left"/>
        <w:rPr>
          <w:sz w:val="24"/>
        </w:rPr>
      </w:pPr>
      <w:r>
        <w:rPr>
          <w:b/>
          <w:sz w:val="24"/>
        </w:rPr>
        <w:t>四、</w:t>
      </w:r>
      <w:r>
        <w:rPr>
          <w:rFonts w:hint="eastAsia"/>
          <w:b/>
          <w:sz w:val="24"/>
        </w:rPr>
        <w:t>响应</w:t>
      </w:r>
      <w:r>
        <w:rPr>
          <w:b/>
          <w:sz w:val="24"/>
        </w:rPr>
        <w:t>文件的递交及相关事宜</w:t>
      </w:r>
    </w:p>
    <w:p>
      <w:pPr>
        <w:ind w:firstLine="360" w:firstLineChars="150"/>
        <w:rPr>
          <w:sz w:val="24"/>
        </w:rPr>
      </w:pPr>
      <w:r>
        <w:rPr>
          <w:sz w:val="24"/>
        </w:rPr>
        <w:t>1、</w:t>
      </w:r>
      <w:r>
        <w:rPr>
          <w:rFonts w:hint="eastAsia"/>
          <w:sz w:val="24"/>
        </w:rPr>
        <w:t>采购人</w:t>
      </w:r>
      <w:r>
        <w:rPr>
          <w:sz w:val="24"/>
        </w:rPr>
        <w:t>不组织踏勘现场，不组织召开预备会。</w:t>
      </w:r>
    </w:p>
    <w:p>
      <w:pPr>
        <w:ind w:firstLine="360" w:firstLineChars="150"/>
        <w:rPr>
          <w:sz w:val="24"/>
        </w:rPr>
      </w:pPr>
      <w:r>
        <w:rPr>
          <w:sz w:val="24"/>
        </w:rPr>
        <w:t>2、本项目不收取响应保证金。</w:t>
      </w:r>
    </w:p>
    <w:p>
      <w:pPr>
        <w:ind w:firstLine="360" w:firstLineChars="150"/>
        <w:rPr>
          <w:sz w:val="24"/>
        </w:rPr>
      </w:pPr>
      <w:r>
        <w:rPr>
          <w:sz w:val="24"/>
        </w:rPr>
        <w:t>3、</w:t>
      </w:r>
      <w:r>
        <w:rPr>
          <w:rFonts w:hint="eastAsia"/>
          <w:sz w:val="24"/>
        </w:rPr>
        <w:t>采购</w:t>
      </w:r>
      <w:r>
        <w:rPr>
          <w:sz w:val="24"/>
        </w:rPr>
        <w:t>人将按照</w:t>
      </w:r>
      <w:r>
        <w:rPr>
          <w:rFonts w:hint="eastAsia"/>
          <w:sz w:val="24"/>
        </w:rPr>
        <w:t>采购文件</w:t>
      </w:r>
      <w:r>
        <w:rPr>
          <w:sz w:val="24"/>
        </w:rPr>
        <w:t>的相关要求对</w:t>
      </w:r>
      <w:r>
        <w:rPr>
          <w:rFonts w:hint="eastAsia"/>
          <w:sz w:val="24"/>
        </w:rPr>
        <w:t>响应人</w:t>
      </w:r>
      <w:r>
        <w:rPr>
          <w:sz w:val="24"/>
        </w:rPr>
        <w:t>的资格条件、</w:t>
      </w:r>
      <w:r>
        <w:rPr>
          <w:rFonts w:hint="eastAsia"/>
          <w:sz w:val="24"/>
        </w:rPr>
        <w:t>响应文件</w:t>
      </w:r>
      <w:r>
        <w:rPr>
          <w:sz w:val="24"/>
        </w:rPr>
        <w:t>符合性响应性等方面进行审查</w:t>
      </w:r>
      <w:r>
        <w:rPr>
          <w:rFonts w:hint="eastAsia"/>
          <w:sz w:val="24"/>
        </w:rPr>
        <w:t>，</w:t>
      </w:r>
      <w:r>
        <w:rPr>
          <w:sz w:val="24"/>
        </w:rPr>
        <w:t>并综合评分。</w:t>
      </w:r>
    </w:p>
    <w:p>
      <w:pPr>
        <w:ind w:firstLine="360" w:firstLineChars="150"/>
        <w:rPr>
          <w:sz w:val="24"/>
        </w:rPr>
      </w:pPr>
      <w:r>
        <w:rPr>
          <w:sz w:val="24"/>
        </w:rPr>
        <w:t>4、</w:t>
      </w:r>
      <w:r>
        <w:rPr>
          <w:rFonts w:hint="eastAsia"/>
          <w:sz w:val="24"/>
        </w:rPr>
        <w:t>响应</w:t>
      </w:r>
      <w:r>
        <w:rPr>
          <w:sz w:val="24"/>
        </w:rPr>
        <w:t>文件递交的截止时间（报价截止时间，下同）为</w:t>
      </w:r>
      <w:r>
        <w:rPr>
          <w:color w:val="000000" w:themeColor="text1"/>
          <w:sz w:val="24"/>
          <w14:textFill>
            <w14:solidFill>
              <w14:schemeClr w14:val="tx1"/>
            </w14:solidFill>
          </w14:textFill>
        </w:rPr>
        <w:t>201</w:t>
      </w:r>
      <w:r>
        <w:rPr>
          <w:rFonts w:hint="eastAsia"/>
          <w:color w:val="000000" w:themeColor="text1"/>
          <w:sz w:val="24"/>
          <w14:textFill>
            <w14:solidFill>
              <w14:schemeClr w14:val="tx1"/>
            </w14:solidFill>
          </w14:textFill>
        </w:rPr>
        <w:t>9年6月2</w:t>
      </w:r>
      <w:r>
        <w:rPr>
          <w:rFonts w:hint="eastAsia"/>
          <w:color w:val="auto"/>
          <w:sz w:val="24"/>
        </w:rPr>
        <w:t>5</w:t>
      </w:r>
      <w:r>
        <w:rPr>
          <w:rFonts w:hint="eastAsia"/>
          <w:color w:val="000000" w:themeColor="text1"/>
          <w:sz w:val="24"/>
          <w14:textFill>
            <w14:solidFill>
              <w14:schemeClr w14:val="tx1"/>
            </w14:solidFill>
          </w14:textFill>
        </w:rPr>
        <w:t>日</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8时</w:t>
      </w:r>
      <w:r>
        <w:rPr>
          <w:color w:val="000000" w:themeColor="text1"/>
          <w:sz w:val="24"/>
          <w14:textFill>
            <w14:solidFill>
              <w14:schemeClr w14:val="tx1"/>
            </w14:solidFill>
          </w14:textFill>
        </w:rPr>
        <w:t>00</w:t>
      </w:r>
      <w:r>
        <w:rPr>
          <w:rFonts w:hint="eastAsia"/>
          <w:sz w:val="24"/>
        </w:rPr>
        <w:t>分</w:t>
      </w:r>
      <w:r>
        <w:rPr>
          <w:sz w:val="24"/>
        </w:rPr>
        <w:t>，递交地点</w:t>
      </w:r>
      <w:r>
        <w:rPr>
          <w:rFonts w:hint="eastAsia"/>
          <w:sz w:val="24"/>
        </w:rPr>
        <w:t>：广东省东莞市高埗镇廉商财富大厦A座8楼成本部经理室，逾期送达的或者未送达指定地点的响应文件，采购人不予受理。</w:t>
      </w:r>
    </w:p>
    <w:p>
      <w:pPr>
        <w:pStyle w:val="49"/>
        <w:ind w:firstLine="320"/>
        <w:rPr>
          <w:rFonts w:hint="eastAsia"/>
          <w:lang w:eastAsia="zh-CN"/>
        </w:rPr>
      </w:pPr>
      <w:r>
        <w:t>5、</w:t>
      </w:r>
      <w:r>
        <w:rPr>
          <w:rFonts w:hint="eastAsia"/>
        </w:rPr>
        <w:t>采购</w:t>
      </w:r>
      <w:r>
        <w:t>人定于</w:t>
      </w:r>
      <w:r>
        <w:rPr>
          <w:rFonts w:hint="eastAsia"/>
        </w:rPr>
        <w:t>响应文件</w:t>
      </w:r>
      <w:r>
        <w:t>递交截止的同一时间、同一地点举行公开开封</w:t>
      </w:r>
      <w:r>
        <w:rPr>
          <w:rFonts w:hint="eastAsia"/>
          <w:lang w:eastAsia="zh-CN"/>
        </w:rPr>
        <w:t>。</w:t>
      </w:r>
    </w:p>
    <w:p>
      <w:pPr>
        <w:pStyle w:val="49"/>
        <w:ind w:firstLine="320"/>
      </w:pPr>
      <w:r>
        <w:t>6、逾期送达的、未送达指定地点的或不按照</w:t>
      </w:r>
      <w:r>
        <w:rPr>
          <w:rFonts w:hint="eastAsia"/>
        </w:rPr>
        <w:t>采购文件</w:t>
      </w:r>
      <w:r>
        <w:t>要求密封的</w:t>
      </w:r>
      <w:r>
        <w:rPr>
          <w:rFonts w:hint="eastAsia"/>
        </w:rPr>
        <w:t>响应文件</w:t>
      </w:r>
      <w:r>
        <w:t>，</w:t>
      </w:r>
      <w:r>
        <w:rPr>
          <w:rFonts w:hint="eastAsia"/>
        </w:rPr>
        <w:t>采购</w:t>
      </w:r>
      <w:r>
        <w:t>人将予以拒收。</w:t>
      </w:r>
    </w:p>
    <w:p>
      <w:pPr>
        <w:pStyle w:val="49"/>
        <w:ind w:firstLine="320"/>
      </w:pPr>
      <w:r>
        <w:rPr>
          <w:rFonts w:hint="eastAsia"/>
        </w:rPr>
        <w:t>7、如递交响应文件的家数少于三家将不予开标，采购人将重新进行采购。</w:t>
      </w:r>
    </w:p>
    <w:p>
      <w:pPr>
        <w:rPr>
          <w:b/>
          <w:sz w:val="24"/>
        </w:rPr>
      </w:pPr>
      <w:r>
        <w:rPr>
          <w:b/>
          <w:sz w:val="24"/>
        </w:rPr>
        <w:t>五、发布公告的媒介</w:t>
      </w:r>
    </w:p>
    <w:p>
      <w:pPr>
        <w:ind w:firstLine="360" w:firstLineChars="150"/>
        <w:rPr>
          <w:sz w:val="24"/>
        </w:rPr>
      </w:pPr>
      <w:r>
        <w:rPr>
          <w:sz w:val="24"/>
        </w:rPr>
        <w:t>本次</w:t>
      </w:r>
      <w:r>
        <w:rPr>
          <w:rFonts w:hint="eastAsia"/>
          <w:sz w:val="24"/>
        </w:rPr>
        <w:t>采购</w:t>
      </w:r>
      <w:r>
        <w:rPr>
          <w:sz w:val="24"/>
        </w:rPr>
        <w:t>公告在</w:t>
      </w:r>
      <w:r>
        <w:rPr>
          <w:rFonts w:hint="eastAsia"/>
          <w:sz w:val="24"/>
        </w:rPr>
        <w:t>安徽安联高速公路有限公司网站http://www.ahanlian.com/</w:t>
      </w:r>
      <w:r>
        <w:rPr>
          <w:sz w:val="24"/>
        </w:rPr>
        <w:t>公开发布。</w:t>
      </w:r>
    </w:p>
    <w:p>
      <w:pPr>
        <w:rPr>
          <w:b/>
          <w:sz w:val="24"/>
        </w:rPr>
      </w:pPr>
      <w:bookmarkStart w:id="3" w:name="_Toc321_WPSOffice_Level2"/>
      <w:bookmarkEnd w:id="3"/>
      <w:bookmarkStart w:id="4" w:name="_Toc8501"/>
      <w:bookmarkEnd w:id="4"/>
      <w:bookmarkStart w:id="5" w:name="_Toc14943_WPSOffice_Level2"/>
      <w:bookmarkEnd w:id="5"/>
      <w:bookmarkStart w:id="6" w:name="_Toc525632592"/>
      <w:bookmarkEnd w:id="6"/>
      <w:bookmarkStart w:id="7" w:name="_Toc20572_WPSOffice_Level2"/>
      <w:bookmarkEnd w:id="7"/>
      <w:r>
        <w:rPr>
          <w:rFonts w:hint="eastAsia"/>
          <w:b/>
          <w:sz w:val="24"/>
        </w:rPr>
        <w:t>六、</w:t>
      </w:r>
      <w:r>
        <w:rPr>
          <w:b/>
          <w:sz w:val="24"/>
        </w:rPr>
        <w:t>采购人联系方式</w:t>
      </w:r>
    </w:p>
    <w:p>
      <w:pPr>
        <w:pStyle w:val="49"/>
        <w:ind w:firstLine="320"/>
      </w:pPr>
      <w:r>
        <w:t>采 购 人：</w:t>
      </w:r>
      <w:r>
        <w:rPr>
          <w:rFonts w:hint="eastAsia"/>
          <w:szCs w:val="21"/>
          <w:u w:val="single"/>
        </w:rPr>
        <w:t xml:space="preserve">东莞市安之联置业有限公司 </w:t>
      </w:r>
    </w:p>
    <w:p>
      <w:pPr>
        <w:pStyle w:val="49"/>
        <w:ind w:firstLine="320"/>
      </w:pPr>
      <w:r>
        <w:t>地    址：</w:t>
      </w:r>
      <w:r>
        <w:rPr>
          <w:rFonts w:hint="eastAsia"/>
          <w:szCs w:val="21"/>
        </w:rPr>
        <w:t>广东省东莞市高埗镇廉商财富大厦A座8楼</w:t>
      </w:r>
    </w:p>
    <w:p>
      <w:pPr>
        <w:pStyle w:val="49"/>
        <w:ind w:firstLine="320"/>
      </w:pPr>
      <w:r>
        <w:t>电    话：</w:t>
      </w:r>
      <w:r>
        <w:rPr>
          <w:rFonts w:hint="eastAsia"/>
          <w:szCs w:val="21"/>
        </w:rPr>
        <w:t>0769-88871925</w:t>
      </w:r>
    </w:p>
    <w:p>
      <w:pPr>
        <w:pStyle w:val="49"/>
        <w:ind w:firstLine="320"/>
      </w:pPr>
      <w:r>
        <w:t>联 系 人：</w:t>
      </w:r>
      <w:r>
        <w:rPr>
          <w:rFonts w:hint="eastAsia"/>
        </w:rPr>
        <w:t>林工</w:t>
      </w:r>
      <w:r>
        <w:t>  </w:t>
      </w:r>
    </w:p>
    <w:p>
      <w:pPr>
        <w:ind w:firstLine="360" w:firstLineChars="150"/>
        <w:jc w:val="left"/>
        <w:rPr>
          <w:sz w:val="24"/>
        </w:rPr>
      </w:pPr>
    </w:p>
    <w:p>
      <w:pPr>
        <w:spacing w:before="120"/>
        <w:jc w:val="left"/>
        <w:rPr>
          <w:b/>
          <w:sz w:val="24"/>
        </w:rPr>
      </w:pPr>
    </w:p>
    <w:p>
      <w:pPr>
        <w:spacing w:before="120"/>
        <w:jc w:val="left"/>
        <w:rPr>
          <w:b/>
          <w:sz w:val="24"/>
        </w:rPr>
      </w:pPr>
    </w:p>
    <w:p>
      <w:pPr>
        <w:pStyle w:val="37"/>
      </w:pPr>
    </w:p>
    <w:p>
      <w:pPr>
        <w:spacing w:before="120"/>
        <w:jc w:val="left"/>
        <w:rPr>
          <w:b/>
          <w:sz w:val="24"/>
        </w:rPr>
      </w:pPr>
    </w:p>
    <w:p>
      <w:pPr>
        <w:spacing w:before="120"/>
        <w:jc w:val="left"/>
        <w:rPr>
          <w:b/>
          <w:sz w:val="24"/>
        </w:rPr>
      </w:pPr>
    </w:p>
    <w:p>
      <w:pPr>
        <w:tabs>
          <w:tab w:val="left" w:pos="7938"/>
        </w:tabs>
        <w:ind w:firstLine="360" w:firstLineChars="150"/>
        <w:jc w:val="right"/>
        <w:rPr>
          <w:sz w:val="24"/>
        </w:rPr>
      </w:pPr>
      <w:r>
        <w:rPr>
          <w:rFonts w:hint="eastAsia"/>
          <w:sz w:val="24"/>
        </w:rPr>
        <w:t>东莞市安之联置业有限公司</w:t>
      </w:r>
    </w:p>
    <w:p>
      <w:pPr>
        <w:ind w:firstLine="360" w:firstLineChars="150"/>
        <w:jc w:val="right"/>
        <w:rPr>
          <w:sz w:val="24"/>
        </w:rPr>
      </w:pPr>
      <w:r>
        <w:rPr>
          <w:sz w:val="24"/>
        </w:rPr>
        <w:t>201</w:t>
      </w:r>
      <w:r>
        <w:rPr>
          <w:rFonts w:hint="eastAsia"/>
          <w:sz w:val="24"/>
        </w:rPr>
        <w:t>9</w:t>
      </w:r>
      <w:r>
        <w:rPr>
          <w:sz w:val="24"/>
        </w:rPr>
        <w:t>年</w:t>
      </w:r>
      <w:r>
        <w:rPr>
          <w:rFonts w:hint="eastAsia"/>
          <w:sz w:val="24"/>
        </w:rPr>
        <w:t>6</w:t>
      </w:r>
      <w:r>
        <w:rPr>
          <w:sz w:val="24"/>
        </w:rPr>
        <w:t>月</w:t>
      </w:r>
      <w:r>
        <w:rPr>
          <w:rFonts w:hint="eastAsia"/>
          <w:sz w:val="24"/>
        </w:rPr>
        <w:t>1</w:t>
      </w:r>
      <w:r>
        <w:rPr>
          <w:rFonts w:hint="eastAsia"/>
          <w:sz w:val="24"/>
          <w:lang w:val="en-US" w:eastAsia="zh-CN"/>
        </w:rPr>
        <w:t>8</w:t>
      </w:r>
      <w:r>
        <w:rPr>
          <w:sz w:val="24"/>
        </w:rPr>
        <w:t>日</w:t>
      </w:r>
    </w:p>
    <w:p>
      <w:pPr>
        <w:spacing w:before="120" w:line="560" w:lineRule="exact"/>
        <w:rPr>
          <w:sz w:val="24"/>
        </w:rPr>
      </w:pPr>
    </w:p>
    <w:p>
      <w:pPr>
        <w:spacing w:before="120"/>
        <w:rPr>
          <w:sz w:val="24"/>
        </w:rPr>
      </w:pPr>
    </w:p>
    <w:p>
      <w:pPr>
        <w:spacing w:before="120"/>
        <w:rPr>
          <w:sz w:val="24"/>
        </w:rPr>
        <w:sectPr>
          <w:headerReference r:id="rId11" w:type="even"/>
          <w:footerReference r:id="rId12" w:type="even"/>
          <w:footnotePr>
            <w:numFmt w:val="decimalEnclosedCircleChinese"/>
            <w:numRestart w:val="eachPage"/>
          </w:footnotePr>
          <w:pgSz w:w="11906" w:h="16838"/>
          <w:pgMar w:top="1418" w:right="1304" w:bottom="1418" w:left="1588" w:header="851" w:footer="851" w:gutter="0"/>
          <w:cols w:space="720" w:num="1"/>
          <w:docGrid w:linePitch="312" w:charSpace="0"/>
        </w:sect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topLinePunct/>
        <w:ind w:right="31" w:rightChars="15"/>
        <w:jc w:val="center"/>
        <w:rPr>
          <w:sz w:val="29"/>
          <w:szCs w:val="29"/>
        </w:rPr>
      </w:pPr>
    </w:p>
    <w:p>
      <w:pPr>
        <w:spacing w:before="120"/>
        <w:jc w:val="center"/>
        <w:outlineLvl w:val="0"/>
        <w:rPr>
          <w:sz w:val="36"/>
          <w:szCs w:val="36"/>
        </w:rPr>
      </w:pPr>
      <w:bookmarkStart w:id="8" w:name="_Toc523927113"/>
      <w:r>
        <w:rPr>
          <w:sz w:val="36"/>
          <w:szCs w:val="36"/>
        </w:rPr>
        <w:t>第二章</w:t>
      </w:r>
      <w:bookmarkStart w:id="9" w:name="_Toc241227269"/>
      <w:bookmarkStart w:id="10" w:name="_Toc241226995"/>
      <w:r>
        <w:rPr>
          <w:rFonts w:hint="eastAsia"/>
          <w:sz w:val="36"/>
          <w:szCs w:val="36"/>
        </w:rPr>
        <w:t xml:space="preserve">  响应人</w:t>
      </w:r>
      <w:r>
        <w:rPr>
          <w:sz w:val="36"/>
          <w:szCs w:val="36"/>
        </w:rPr>
        <w:t>须知</w:t>
      </w:r>
      <w:bookmarkEnd w:id="8"/>
    </w:p>
    <w:p>
      <w:pPr>
        <w:spacing w:before="120"/>
        <w:jc w:val="center"/>
        <w:rPr>
          <w:sz w:val="30"/>
          <w:szCs w:val="30"/>
        </w:rPr>
      </w:pPr>
      <w:r>
        <w:rPr>
          <w:sz w:val="29"/>
          <w:szCs w:val="29"/>
        </w:rPr>
        <w:br w:type="page"/>
      </w:r>
      <w:r>
        <w:rPr>
          <w:sz w:val="30"/>
          <w:szCs w:val="30"/>
        </w:rPr>
        <w:t>第</w:t>
      </w:r>
      <w:bookmarkEnd w:id="9"/>
      <w:bookmarkEnd w:id="10"/>
      <w:r>
        <w:rPr>
          <w:sz w:val="30"/>
          <w:szCs w:val="30"/>
        </w:rPr>
        <w:t>二章</w:t>
      </w:r>
      <w:r>
        <w:rPr>
          <w:rFonts w:hint="eastAsia"/>
          <w:sz w:val="30"/>
          <w:szCs w:val="30"/>
        </w:rPr>
        <w:t>响应人</w:t>
      </w:r>
      <w:r>
        <w:rPr>
          <w:sz w:val="30"/>
          <w:szCs w:val="30"/>
        </w:rPr>
        <w:t>须知</w:t>
      </w:r>
    </w:p>
    <w:p>
      <w:pPr>
        <w:ind w:firstLine="241" w:firstLineChars="100"/>
        <w:jc w:val="center"/>
        <w:rPr>
          <w:b/>
          <w:sz w:val="24"/>
        </w:rPr>
      </w:pPr>
      <w:r>
        <w:rPr>
          <w:rFonts w:hint="eastAsia"/>
          <w:b/>
          <w:sz w:val="24"/>
        </w:rPr>
        <w:t>响应人</w:t>
      </w:r>
      <w:r>
        <w:rPr>
          <w:b/>
          <w:sz w:val="24"/>
        </w:rPr>
        <w:t>须知前附表</w:t>
      </w:r>
    </w:p>
    <w:tbl>
      <w:tblPr>
        <w:tblStyle w:val="61"/>
        <w:tblW w:w="90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8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5" w:hRule="atLeast"/>
          <w:jc w:val="center"/>
        </w:trPr>
        <w:tc>
          <w:tcPr>
            <w:tcW w:w="720" w:type="dxa"/>
            <w:vAlign w:val="center"/>
          </w:tcPr>
          <w:p>
            <w:pPr>
              <w:rPr>
                <w:b/>
                <w:sz w:val="24"/>
              </w:rPr>
            </w:pPr>
            <w:r>
              <w:rPr>
                <w:b/>
                <w:sz w:val="24"/>
              </w:rPr>
              <w:t>项目</w:t>
            </w:r>
          </w:p>
        </w:tc>
        <w:tc>
          <w:tcPr>
            <w:tcW w:w="8318" w:type="dxa"/>
            <w:vAlign w:val="center"/>
          </w:tcPr>
          <w:p>
            <w:pPr>
              <w:jc w:val="center"/>
              <w:rPr>
                <w:b/>
                <w:sz w:val="24"/>
              </w:rPr>
            </w:pPr>
            <w:r>
              <w:rPr>
                <w:b/>
                <w:sz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0" w:hRule="atLeast"/>
          <w:jc w:val="center"/>
        </w:trPr>
        <w:tc>
          <w:tcPr>
            <w:tcW w:w="720" w:type="dxa"/>
            <w:vAlign w:val="center"/>
          </w:tcPr>
          <w:p>
            <w:pPr>
              <w:jc w:val="center"/>
              <w:rPr>
                <w:sz w:val="24"/>
              </w:rPr>
            </w:pPr>
            <w:r>
              <w:rPr>
                <w:sz w:val="24"/>
              </w:rPr>
              <w:t>1</w:t>
            </w:r>
          </w:p>
        </w:tc>
        <w:tc>
          <w:tcPr>
            <w:tcW w:w="8318" w:type="dxa"/>
            <w:vAlign w:val="center"/>
          </w:tcPr>
          <w:p>
            <w:pPr>
              <w:rPr>
                <w:sz w:val="24"/>
              </w:rPr>
            </w:pPr>
            <w:r>
              <w:rPr>
                <w:b/>
                <w:sz w:val="24"/>
              </w:rPr>
              <w:t>项目名称：</w:t>
            </w:r>
            <w:r>
              <w:rPr>
                <w:rFonts w:hint="eastAsia"/>
                <w:sz w:val="24"/>
              </w:rPr>
              <w:t>安联湾区时代项目总承包工程造价咨询服务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720" w:type="dxa"/>
            <w:vAlign w:val="center"/>
          </w:tcPr>
          <w:p>
            <w:pPr>
              <w:jc w:val="center"/>
              <w:rPr>
                <w:sz w:val="24"/>
              </w:rPr>
            </w:pPr>
            <w:r>
              <w:rPr>
                <w:sz w:val="24"/>
              </w:rPr>
              <w:t>2</w:t>
            </w:r>
          </w:p>
        </w:tc>
        <w:tc>
          <w:tcPr>
            <w:tcW w:w="8318" w:type="dxa"/>
            <w:vAlign w:val="center"/>
          </w:tcPr>
          <w:p>
            <w:pPr>
              <w:rPr>
                <w:sz w:val="24"/>
              </w:rPr>
            </w:pPr>
            <w:r>
              <w:rPr>
                <w:b/>
                <w:sz w:val="24"/>
              </w:rPr>
              <w:t>采购人：</w:t>
            </w:r>
            <w:r>
              <w:rPr>
                <w:rFonts w:hint="eastAsia"/>
                <w:sz w:val="24"/>
              </w:rPr>
              <w:t>东莞市安之联置业有限公司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jc w:val="center"/>
        </w:trPr>
        <w:tc>
          <w:tcPr>
            <w:tcW w:w="720" w:type="dxa"/>
            <w:vAlign w:val="center"/>
          </w:tcPr>
          <w:p>
            <w:pPr>
              <w:jc w:val="center"/>
              <w:rPr>
                <w:sz w:val="24"/>
              </w:rPr>
            </w:pPr>
            <w:r>
              <w:rPr>
                <w:sz w:val="24"/>
              </w:rPr>
              <w:t>3</w:t>
            </w:r>
          </w:p>
        </w:tc>
        <w:tc>
          <w:tcPr>
            <w:tcW w:w="8318" w:type="dxa"/>
            <w:vAlign w:val="center"/>
          </w:tcPr>
          <w:p>
            <w:pPr>
              <w:pStyle w:val="49"/>
              <w:spacing w:line="360" w:lineRule="auto"/>
              <w:rPr>
                <w:b/>
              </w:rPr>
            </w:pPr>
            <w:r>
              <w:rPr>
                <w:rFonts w:hint="eastAsia"/>
                <w:b/>
              </w:rPr>
              <w:t>工期要求</w:t>
            </w:r>
            <w:r>
              <w:t>：</w:t>
            </w:r>
            <w:r>
              <w:rPr>
                <w:rFonts w:hint="eastAsia"/>
              </w:rPr>
              <w:t>领取</w:t>
            </w:r>
            <w:r>
              <w:rPr>
                <w:rFonts w:hint="eastAsia" w:cs="仿宋_GB2312"/>
                <w:color w:val="000000"/>
              </w:rPr>
              <w:t>完整咨询资料后</w:t>
            </w:r>
            <w:r>
              <w:rPr>
                <w:rFonts w:hint="eastAsia" w:cs="仿宋_GB2312"/>
                <w:color w:val="000000"/>
                <w:u w:val="single"/>
              </w:rPr>
              <w:t xml:space="preserve"> 15 </w:t>
            </w:r>
            <w:r>
              <w:rPr>
                <w:rFonts w:hint="eastAsia" w:cs="仿宋_GB2312"/>
                <w:color w:val="000000"/>
              </w:rPr>
              <w:t>日历天内完成工程量清单编制并提交工作成果；自清单确定后</w:t>
            </w:r>
            <w:r>
              <w:rPr>
                <w:rFonts w:hint="eastAsia" w:cs="仿宋_GB2312"/>
                <w:color w:val="000000"/>
                <w:u w:val="single"/>
              </w:rPr>
              <w:t xml:space="preserve"> 3 </w:t>
            </w:r>
            <w:r>
              <w:rPr>
                <w:rFonts w:hint="eastAsia" w:cs="仿宋_GB2312"/>
                <w:color w:val="000000"/>
              </w:rPr>
              <w:t>日历天内完成控制价编制并向提交工作成果。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1" w:hRule="atLeast"/>
          <w:jc w:val="center"/>
        </w:trPr>
        <w:tc>
          <w:tcPr>
            <w:tcW w:w="720" w:type="dxa"/>
            <w:vAlign w:val="center"/>
          </w:tcPr>
          <w:p>
            <w:pPr>
              <w:jc w:val="center"/>
              <w:rPr>
                <w:sz w:val="24"/>
              </w:rPr>
            </w:pPr>
            <w:r>
              <w:rPr>
                <w:sz w:val="24"/>
              </w:rPr>
              <w:t>4</w:t>
            </w:r>
          </w:p>
        </w:tc>
        <w:tc>
          <w:tcPr>
            <w:tcW w:w="8318" w:type="dxa"/>
            <w:vAlign w:val="center"/>
          </w:tcPr>
          <w:p>
            <w:pPr>
              <w:rPr>
                <w:sz w:val="24"/>
              </w:rPr>
            </w:pPr>
            <w:r>
              <w:rPr>
                <w:b/>
                <w:sz w:val="24"/>
              </w:rPr>
              <w:t>报价有效期</w:t>
            </w:r>
            <w:r>
              <w:rPr>
                <w:sz w:val="24"/>
              </w:rPr>
              <w:t>：</w:t>
            </w:r>
            <w:r>
              <w:rPr>
                <w:rFonts w:hint="eastAsia"/>
                <w:sz w:val="24"/>
              </w:rPr>
              <w:t>响应人</w:t>
            </w:r>
            <w:r>
              <w:rPr>
                <w:sz w:val="24"/>
              </w:rPr>
              <w:t>提交</w:t>
            </w:r>
            <w:r>
              <w:rPr>
                <w:rFonts w:hint="eastAsia"/>
                <w:sz w:val="24"/>
              </w:rPr>
              <w:t>响应文件</w:t>
            </w:r>
            <w:r>
              <w:rPr>
                <w:sz w:val="24"/>
              </w:rPr>
              <w:t>截止之日起</w:t>
            </w:r>
            <w:r>
              <w:rPr>
                <w:sz w:val="24"/>
                <w:u w:val="single"/>
              </w:rPr>
              <w:t>60</w:t>
            </w:r>
            <w:r>
              <w:rPr>
                <w:sz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720" w:type="dxa"/>
            <w:vAlign w:val="center"/>
          </w:tcPr>
          <w:p>
            <w:pPr>
              <w:jc w:val="center"/>
              <w:rPr>
                <w:sz w:val="24"/>
              </w:rPr>
            </w:pPr>
            <w:r>
              <w:rPr>
                <w:sz w:val="24"/>
              </w:rPr>
              <w:t>5</w:t>
            </w:r>
          </w:p>
        </w:tc>
        <w:tc>
          <w:tcPr>
            <w:tcW w:w="8318" w:type="dxa"/>
            <w:vAlign w:val="center"/>
          </w:tcPr>
          <w:p>
            <w:pPr>
              <w:rPr>
                <w:b/>
                <w:sz w:val="24"/>
              </w:rPr>
            </w:pPr>
            <w:r>
              <w:rPr>
                <w:b/>
                <w:sz w:val="24"/>
              </w:rPr>
              <w:t>响应保证金：</w:t>
            </w:r>
            <w:r>
              <w:rPr>
                <w:sz w:val="24"/>
              </w:rPr>
              <w:t>本项目不收取响应保证金。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720" w:type="dxa"/>
            <w:vAlign w:val="center"/>
          </w:tcPr>
          <w:p>
            <w:pPr>
              <w:jc w:val="center"/>
              <w:rPr>
                <w:sz w:val="24"/>
              </w:rPr>
            </w:pPr>
            <w:r>
              <w:rPr>
                <w:sz w:val="24"/>
              </w:rPr>
              <w:t>6</w:t>
            </w:r>
          </w:p>
        </w:tc>
        <w:tc>
          <w:tcPr>
            <w:tcW w:w="8318" w:type="dxa"/>
            <w:vAlign w:val="center"/>
          </w:tcPr>
          <w:p>
            <w:pPr>
              <w:rPr>
                <w:sz w:val="24"/>
              </w:rPr>
            </w:pPr>
            <w:r>
              <w:rPr>
                <w:rFonts w:hint="eastAsia"/>
                <w:b/>
                <w:sz w:val="24"/>
              </w:rPr>
              <w:t>响应</w:t>
            </w:r>
            <w:r>
              <w:rPr>
                <w:b/>
                <w:sz w:val="24"/>
              </w:rPr>
              <w:t>文件份数</w:t>
            </w:r>
            <w:r>
              <w:rPr>
                <w:sz w:val="24"/>
              </w:rPr>
              <w:t>：正本</w:t>
            </w:r>
            <w:r>
              <w:rPr>
                <w:sz w:val="24"/>
                <w:u w:val="single"/>
              </w:rPr>
              <w:t>1</w:t>
            </w:r>
            <w:r>
              <w:rPr>
                <w:sz w:val="24"/>
              </w:rPr>
              <w:t>份，副本</w:t>
            </w:r>
            <w:r>
              <w:rPr>
                <w:sz w:val="24"/>
                <w:u w:val="single"/>
              </w:rPr>
              <w:t>1</w:t>
            </w:r>
            <w:r>
              <w:rPr>
                <w:sz w:val="24"/>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7" w:hRule="atLeast"/>
          <w:jc w:val="center"/>
        </w:trPr>
        <w:tc>
          <w:tcPr>
            <w:tcW w:w="720" w:type="dxa"/>
            <w:vAlign w:val="center"/>
          </w:tcPr>
          <w:p>
            <w:pPr>
              <w:jc w:val="center"/>
              <w:rPr>
                <w:sz w:val="24"/>
              </w:rPr>
            </w:pPr>
            <w:r>
              <w:rPr>
                <w:sz w:val="24"/>
              </w:rPr>
              <w:t>7</w:t>
            </w:r>
          </w:p>
        </w:tc>
        <w:tc>
          <w:tcPr>
            <w:tcW w:w="8318" w:type="dxa"/>
            <w:vAlign w:val="center"/>
          </w:tcPr>
          <w:p>
            <w:pPr>
              <w:rPr>
                <w:sz w:val="24"/>
              </w:rPr>
            </w:pPr>
            <w:r>
              <w:rPr>
                <w:b/>
                <w:sz w:val="24"/>
              </w:rPr>
              <w:t>报价时须携带资料：</w:t>
            </w:r>
            <w:r>
              <w:rPr>
                <w:rFonts w:hint="eastAsia"/>
                <w:sz w:val="24"/>
              </w:rPr>
              <w:t>响应人</w:t>
            </w:r>
            <w:r>
              <w:rPr>
                <w:sz w:val="24"/>
              </w:rPr>
              <w:t>须在规定的时间、地点准时参加报价，并提供以下资料原件：</w:t>
            </w:r>
            <w:r>
              <w:rPr>
                <w:rFonts w:hint="eastAsia"/>
                <w:sz w:val="24"/>
              </w:rPr>
              <w:t>响应文件</w:t>
            </w:r>
            <w:r>
              <w:rPr>
                <w:sz w:val="24"/>
              </w:rPr>
              <w:t>、法人代表身份证或被授权人身份证、授权委托书、企业法人营业执照或事业单位法人证书（复印件需加盖公章）</w:t>
            </w:r>
            <w:r>
              <w:rPr>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9" w:hRule="atLeast"/>
          <w:jc w:val="center"/>
        </w:trPr>
        <w:tc>
          <w:tcPr>
            <w:tcW w:w="720" w:type="dxa"/>
            <w:vAlign w:val="center"/>
          </w:tcPr>
          <w:p>
            <w:pPr>
              <w:jc w:val="center"/>
              <w:rPr>
                <w:sz w:val="24"/>
              </w:rPr>
            </w:pPr>
            <w:r>
              <w:rPr>
                <w:sz w:val="24"/>
              </w:rPr>
              <w:t>8</w:t>
            </w:r>
          </w:p>
        </w:tc>
        <w:tc>
          <w:tcPr>
            <w:tcW w:w="8318" w:type="dxa"/>
            <w:vAlign w:val="center"/>
          </w:tcPr>
          <w:p>
            <w:pPr>
              <w:rPr>
                <w:sz w:val="24"/>
              </w:rPr>
            </w:pPr>
            <w:r>
              <w:rPr>
                <w:b/>
                <w:sz w:val="24"/>
              </w:rPr>
              <w:t>成交原则</w:t>
            </w:r>
            <w:r>
              <w:rPr>
                <w:sz w:val="24"/>
              </w:rPr>
              <w:t>：本项目采用</w:t>
            </w:r>
            <w:r>
              <w:rPr>
                <w:b/>
                <w:sz w:val="24"/>
              </w:rPr>
              <w:t>综合评分法</w:t>
            </w:r>
            <w:r>
              <w:rPr>
                <w:sz w:val="24"/>
              </w:rPr>
              <w:t>，</w:t>
            </w:r>
            <w:r>
              <w:rPr>
                <w:sz w:val="24"/>
                <w:lang w:val="zh-CN"/>
              </w:rPr>
              <w:t>选择经评审的综合评分最高的</w:t>
            </w:r>
            <w:r>
              <w:rPr>
                <w:rFonts w:hint="eastAsia"/>
                <w:sz w:val="24"/>
                <w:lang w:val="zh-CN"/>
              </w:rPr>
              <w:t>响应人</w:t>
            </w:r>
            <w:r>
              <w:rPr>
                <w:sz w:val="24"/>
              </w:rPr>
              <w:t>推荐为成交候选人。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1" w:hRule="atLeast"/>
          <w:jc w:val="center"/>
        </w:trPr>
        <w:tc>
          <w:tcPr>
            <w:tcW w:w="720" w:type="dxa"/>
            <w:vAlign w:val="center"/>
          </w:tcPr>
          <w:p>
            <w:pPr>
              <w:jc w:val="center"/>
              <w:rPr>
                <w:sz w:val="24"/>
              </w:rPr>
            </w:pPr>
            <w:r>
              <w:rPr>
                <w:sz w:val="24"/>
              </w:rPr>
              <w:t>9</w:t>
            </w:r>
          </w:p>
        </w:tc>
        <w:tc>
          <w:tcPr>
            <w:tcW w:w="8318" w:type="dxa"/>
            <w:vAlign w:val="center"/>
          </w:tcPr>
          <w:p>
            <w:pPr>
              <w:rPr>
                <w:sz w:val="24"/>
              </w:rPr>
            </w:pPr>
            <w:r>
              <w:rPr>
                <w:sz w:val="24"/>
              </w:rPr>
              <w:t>不管</w:t>
            </w:r>
            <w:r>
              <w:rPr>
                <w:rFonts w:hint="eastAsia"/>
                <w:sz w:val="24"/>
              </w:rPr>
              <w:t>采购</w:t>
            </w:r>
            <w:r>
              <w:rPr>
                <w:sz w:val="24"/>
              </w:rPr>
              <w:t>结果如何，</w:t>
            </w:r>
            <w:r>
              <w:rPr>
                <w:rFonts w:hint="eastAsia"/>
                <w:sz w:val="24"/>
              </w:rPr>
              <w:t>响应人</w:t>
            </w:r>
            <w:r>
              <w:rPr>
                <w:sz w:val="24"/>
              </w:rPr>
              <w:t>均应自行承担自己报价所需一切费用。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jc w:val="center"/>
        </w:trPr>
        <w:tc>
          <w:tcPr>
            <w:tcW w:w="720" w:type="dxa"/>
            <w:vAlign w:val="center"/>
          </w:tcPr>
          <w:p>
            <w:pPr>
              <w:jc w:val="center"/>
              <w:rPr>
                <w:sz w:val="24"/>
              </w:rPr>
            </w:pPr>
            <w:r>
              <w:rPr>
                <w:sz w:val="24"/>
              </w:rPr>
              <w:t>10</w:t>
            </w:r>
          </w:p>
        </w:tc>
        <w:tc>
          <w:tcPr>
            <w:tcW w:w="8318" w:type="dxa"/>
            <w:vAlign w:val="center"/>
          </w:tcPr>
          <w:p>
            <w:pPr>
              <w:rPr>
                <w:b/>
                <w:sz w:val="24"/>
              </w:rPr>
            </w:pPr>
            <w:r>
              <w:rPr>
                <w:rFonts w:hint="eastAsia"/>
                <w:b/>
                <w:sz w:val="24"/>
              </w:rPr>
              <w:t>采购</w:t>
            </w:r>
            <w:r>
              <w:rPr>
                <w:b/>
                <w:sz w:val="24"/>
              </w:rPr>
              <w:t>人设定的</w:t>
            </w:r>
            <w:r>
              <w:rPr>
                <w:rFonts w:hint="eastAsia"/>
                <w:b/>
                <w:sz w:val="24"/>
                <w:lang w:val="en-US" w:eastAsia="zh-CN"/>
              </w:rPr>
              <w:t>采购</w:t>
            </w:r>
            <w:r>
              <w:rPr>
                <w:b/>
                <w:sz w:val="24"/>
              </w:rPr>
              <w:t>控制价为</w:t>
            </w:r>
            <w:r>
              <w:rPr>
                <w:rFonts w:hint="eastAsia"/>
                <w:b/>
                <w:sz w:val="24"/>
                <w:u w:val="single"/>
              </w:rPr>
              <w:t xml:space="preserve"> </w:t>
            </w:r>
            <w:r>
              <w:rPr>
                <w:rFonts w:hint="eastAsia" w:eastAsia="仿宋_GB2312"/>
                <w:sz w:val="32"/>
                <w:szCs w:val="32"/>
                <w:u w:val="single"/>
              </w:rPr>
              <w:t>88.2</w:t>
            </w:r>
            <w:r>
              <w:rPr>
                <w:b/>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atLeast"/>
          <w:jc w:val="center"/>
        </w:trPr>
        <w:tc>
          <w:tcPr>
            <w:tcW w:w="720" w:type="dxa"/>
            <w:vAlign w:val="center"/>
          </w:tcPr>
          <w:p>
            <w:pPr>
              <w:jc w:val="center"/>
              <w:rPr>
                <w:sz w:val="24"/>
              </w:rPr>
            </w:pPr>
            <w:r>
              <w:rPr>
                <w:sz w:val="24"/>
              </w:rPr>
              <w:t>1</w:t>
            </w:r>
            <w:r>
              <w:rPr>
                <w:rFonts w:hint="eastAsia"/>
                <w:sz w:val="24"/>
              </w:rPr>
              <w:t>1</w:t>
            </w:r>
          </w:p>
        </w:tc>
        <w:tc>
          <w:tcPr>
            <w:tcW w:w="8318" w:type="dxa"/>
            <w:vAlign w:val="center"/>
          </w:tcPr>
          <w:p>
            <w:pPr>
              <w:rPr>
                <w:b/>
                <w:sz w:val="24"/>
              </w:rPr>
            </w:pPr>
            <w:r>
              <w:rPr>
                <w:b/>
                <w:sz w:val="24"/>
              </w:rPr>
              <w:t>本项目需开具增值税专用发票，相应税费由</w:t>
            </w:r>
            <w:r>
              <w:rPr>
                <w:rFonts w:hint="eastAsia"/>
                <w:b/>
                <w:sz w:val="24"/>
              </w:rPr>
              <w:t>响应人</w:t>
            </w:r>
            <w:r>
              <w:rPr>
                <w:b/>
                <w:sz w:val="24"/>
              </w:rPr>
              <w:t>在报价的综合单价或总价中考虑，采购人不再另行支付。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2" w:hRule="atLeast"/>
          <w:jc w:val="center"/>
        </w:trPr>
        <w:tc>
          <w:tcPr>
            <w:tcW w:w="720" w:type="dxa"/>
            <w:vAlign w:val="center"/>
          </w:tcPr>
          <w:p>
            <w:pPr>
              <w:jc w:val="center"/>
              <w:rPr>
                <w:sz w:val="24"/>
              </w:rPr>
            </w:pPr>
            <w:r>
              <w:rPr>
                <w:rFonts w:hint="eastAsia"/>
                <w:sz w:val="24"/>
              </w:rPr>
              <w:t>12</w:t>
            </w:r>
          </w:p>
        </w:tc>
        <w:tc>
          <w:tcPr>
            <w:tcW w:w="8318" w:type="dxa"/>
            <w:vAlign w:val="center"/>
          </w:tcPr>
          <w:p>
            <w:pPr>
              <w:rPr>
                <w:sz w:val="24"/>
              </w:rPr>
            </w:pPr>
            <w:r>
              <w:rPr>
                <w:sz w:val="24"/>
              </w:rPr>
              <w:t>履约担保</w:t>
            </w:r>
            <w:r>
              <w:rPr>
                <w:rFonts w:hint="eastAsia"/>
                <w:sz w:val="24"/>
              </w:rPr>
              <w:t>：</w:t>
            </w:r>
            <w:r>
              <w:rPr>
                <w:sz w:val="24"/>
              </w:rPr>
              <w:t>履约担保的形式：</w:t>
            </w:r>
            <w:r>
              <w:rPr>
                <w:rFonts w:hint="eastAsia"/>
                <w:sz w:val="24"/>
              </w:rPr>
              <w:t>保证金</w:t>
            </w:r>
            <w:r>
              <w:rPr>
                <w:sz w:val="24"/>
              </w:rPr>
              <w:t>或银行履约保函，银行履约保函格式见</w:t>
            </w:r>
            <w:r>
              <w:rPr>
                <w:rFonts w:hint="eastAsia"/>
                <w:sz w:val="24"/>
              </w:rPr>
              <w:t>合同条款附件</w:t>
            </w:r>
            <w:r>
              <w:rPr>
                <w:sz w:val="24"/>
              </w:rPr>
              <w:t>。</w:t>
            </w:r>
          </w:p>
          <w:p>
            <w:pPr>
              <w:rPr>
                <w:sz w:val="24"/>
              </w:rPr>
            </w:pPr>
            <w:r>
              <w:rPr>
                <w:sz w:val="24"/>
              </w:rPr>
              <w:t>履约担保的金额：</w:t>
            </w:r>
            <w:r>
              <w:rPr>
                <w:rFonts w:hint="eastAsia"/>
                <w:sz w:val="24"/>
              </w:rPr>
              <w:t>成交</w:t>
            </w:r>
            <w:r>
              <w:rPr>
                <w:sz w:val="24"/>
              </w:rPr>
              <w:t xml:space="preserve">通知书发出之日起 </w:t>
            </w:r>
            <w:r>
              <w:rPr>
                <w:rFonts w:hint="eastAsia"/>
                <w:b/>
                <w:bCs/>
                <w:color w:val="auto"/>
                <w:sz w:val="24"/>
                <w:lang w:eastAsia="zh-CN"/>
              </w:rPr>
              <w:t>7</w:t>
            </w:r>
            <w:r>
              <w:rPr>
                <w:color w:val="auto"/>
                <w:sz w:val="24"/>
              </w:rPr>
              <w:t>日之内，协议签订前，</w:t>
            </w:r>
            <w:r>
              <w:rPr>
                <w:rFonts w:hint="eastAsia"/>
                <w:color w:val="auto"/>
                <w:sz w:val="24"/>
              </w:rPr>
              <w:t>成交</w:t>
            </w:r>
            <w:r>
              <w:rPr>
                <w:color w:val="auto"/>
                <w:sz w:val="24"/>
              </w:rPr>
              <w:t>人向</w:t>
            </w:r>
            <w:r>
              <w:rPr>
                <w:rFonts w:hint="eastAsia"/>
                <w:color w:val="auto"/>
                <w:sz w:val="24"/>
              </w:rPr>
              <w:t>采购</w:t>
            </w:r>
            <w:r>
              <w:rPr>
                <w:color w:val="auto"/>
                <w:sz w:val="24"/>
              </w:rPr>
              <w:t>人提交金额为</w:t>
            </w:r>
            <w:r>
              <w:rPr>
                <w:rFonts w:hint="eastAsia"/>
                <w:b/>
                <w:bCs/>
                <w:color w:val="auto"/>
                <w:sz w:val="24"/>
                <w:lang w:eastAsia="zh-CN"/>
              </w:rPr>
              <w:t>3</w:t>
            </w:r>
            <w:r>
              <w:rPr>
                <w:rFonts w:hint="eastAsia"/>
                <w:sz w:val="24"/>
              </w:rPr>
              <w:t>万</w:t>
            </w:r>
            <w:r>
              <w:rPr>
                <w:sz w:val="24"/>
              </w:rPr>
              <w:t>元的履约担保，</w:t>
            </w:r>
            <w:r>
              <w:rPr>
                <w:rFonts w:hint="eastAsia"/>
                <w:sz w:val="24"/>
              </w:rPr>
              <w:t>成交</w:t>
            </w:r>
            <w:r>
              <w:rPr>
                <w:sz w:val="24"/>
              </w:rPr>
              <w:t>人逾期未提交履约担保的，</w:t>
            </w:r>
            <w:r>
              <w:rPr>
                <w:rFonts w:hint="eastAsia"/>
                <w:sz w:val="24"/>
              </w:rPr>
              <w:t>采购</w:t>
            </w:r>
            <w:r>
              <w:rPr>
                <w:sz w:val="24"/>
              </w:rPr>
              <w:t>人有权取消其</w:t>
            </w:r>
            <w:r>
              <w:rPr>
                <w:rFonts w:hint="eastAsia"/>
                <w:sz w:val="24"/>
              </w:rPr>
              <w:t>成交</w:t>
            </w:r>
            <w:r>
              <w:rPr>
                <w:sz w:val="24"/>
              </w:rPr>
              <w:t>资格。</w:t>
            </w:r>
          </w:p>
        </w:tc>
      </w:tr>
    </w:tbl>
    <w:p>
      <w:pPr>
        <w:spacing w:line="360" w:lineRule="auto"/>
        <w:jc w:val="center"/>
        <w:rPr>
          <w:b/>
          <w:bCs/>
          <w:sz w:val="22"/>
          <w:szCs w:val="22"/>
        </w:rPr>
      </w:pPr>
    </w:p>
    <w:p>
      <w:pPr>
        <w:spacing w:line="360" w:lineRule="auto"/>
        <w:jc w:val="center"/>
        <w:rPr>
          <w:b/>
          <w:bCs/>
          <w:sz w:val="22"/>
          <w:szCs w:val="22"/>
        </w:rPr>
      </w:pPr>
    </w:p>
    <w:p>
      <w:pPr>
        <w:spacing w:line="360" w:lineRule="auto"/>
        <w:jc w:val="center"/>
        <w:rPr>
          <w:b/>
          <w:bCs/>
          <w:sz w:val="22"/>
          <w:szCs w:val="22"/>
        </w:rPr>
      </w:pPr>
      <w:r>
        <w:rPr>
          <w:b/>
          <w:bCs/>
          <w:sz w:val="22"/>
          <w:szCs w:val="22"/>
        </w:rPr>
        <w:t>附录1   资格审查条件（资格最低要求）</w:t>
      </w:r>
    </w:p>
    <w:tbl>
      <w:tblPr>
        <w:tblStyle w:val="61"/>
        <w:tblW w:w="92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230" w:type="dxa"/>
            <w:vAlign w:val="center"/>
          </w:tcPr>
          <w:p>
            <w:pPr>
              <w:spacing w:line="360" w:lineRule="auto"/>
              <w:jc w:val="center"/>
              <w:rPr>
                <w:sz w:val="22"/>
                <w:szCs w:val="22"/>
              </w:rPr>
            </w:pPr>
            <w:r>
              <w:rPr>
                <w:sz w:val="22"/>
                <w:szCs w:val="22"/>
              </w:rPr>
              <w:t>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9230" w:type="dxa"/>
            <w:vAlign w:val="center"/>
          </w:tcPr>
          <w:p>
            <w:pPr>
              <w:tabs>
                <w:tab w:val="left" w:pos="459"/>
              </w:tabs>
              <w:spacing w:line="360" w:lineRule="auto"/>
              <w:ind w:firstLine="480" w:firstLineChars="200"/>
              <w:rPr>
                <w:sz w:val="24"/>
              </w:rPr>
            </w:pPr>
            <w:r>
              <w:rPr>
                <w:rFonts w:hint="eastAsia"/>
                <w:sz w:val="24"/>
              </w:rPr>
              <w:t>1、</w:t>
            </w:r>
            <w:r>
              <w:rPr>
                <w:sz w:val="24"/>
              </w:rPr>
              <w:t>须是经中华人民共和国工商注册的独立法人，提供有效的营业执照</w:t>
            </w:r>
            <w:r>
              <w:rPr>
                <w:rFonts w:hint="eastAsia"/>
                <w:sz w:val="24"/>
              </w:rPr>
              <w:t>。</w:t>
            </w:r>
          </w:p>
          <w:p>
            <w:pPr>
              <w:spacing w:line="360" w:lineRule="auto"/>
              <w:ind w:firstLine="480" w:firstLineChars="200"/>
            </w:pPr>
            <w:r>
              <w:rPr>
                <w:rFonts w:hint="eastAsia"/>
                <w:sz w:val="24"/>
              </w:rPr>
              <w:t>2、</w:t>
            </w:r>
            <w:r>
              <w:rPr>
                <w:sz w:val="24"/>
              </w:rPr>
              <w:t>须具有</w:t>
            </w:r>
            <w:r>
              <w:rPr>
                <w:rFonts w:hint="eastAsia"/>
                <w:sz w:val="24"/>
              </w:rPr>
              <w:t>住房与城乡建设部</w:t>
            </w:r>
            <w:r>
              <w:rPr>
                <w:sz w:val="24"/>
              </w:rPr>
              <w:t>核发的</w:t>
            </w:r>
            <w:r>
              <w:rPr>
                <w:rFonts w:hint="eastAsia"/>
                <w:sz w:val="24"/>
              </w:rPr>
              <w:t>工程</w:t>
            </w:r>
            <w:r>
              <w:rPr>
                <w:sz w:val="24"/>
              </w:rPr>
              <w:t>造价咨询甲级资质，须提供资质证书。</w:t>
            </w:r>
          </w:p>
        </w:tc>
      </w:tr>
    </w:tbl>
    <w:p>
      <w:pPr>
        <w:spacing w:line="360" w:lineRule="auto"/>
        <w:rPr>
          <w:szCs w:val="21"/>
        </w:rPr>
      </w:pPr>
    </w:p>
    <w:p>
      <w:pPr>
        <w:spacing w:line="360" w:lineRule="auto"/>
        <w:jc w:val="center"/>
        <w:rPr>
          <w:b/>
          <w:bCs/>
          <w:sz w:val="22"/>
          <w:szCs w:val="22"/>
        </w:rPr>
      </w:pPr>
      <w:r>
        <w:rPr>
          <w:b/>
          <w:bCs/>
          <w:sz w:val="22"/>
          <w:szCs w:val="22"/>
        </w:rPr>
        <w:t>附录2   资格审查条件（业绩最低要求）</w:t>
      </w:r>
    </w:p>
    <w:tbl>
      <w:tblPr>
        <w:tblStyle w:val="61"/>
        <w:tblW w:w="92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230" w:type="dxa"/>
            <w:vAlign w:val="center"/>
          </w:tcPr>
          <w:p>
            <w:pPr>
              <w:spacing w:line="360" w:lineRule="auto"/>
              <w:jc w:val="center"/>
              <w:rPr>
                <w:sz w:val="22"/>
                <w:szCs w:val="22"/>
              </w:rPr>
            </w:pPr>
            <w:r>
              <w:rPr>
                <w:sz w:val="22"/>
                <w:szCs w:val="22"/>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230" w:type="dxa"/>
            <w:vAlign w:val="center"/>
          </w:tcPr>
          <w:p>
            <w:pPr>
              <w:spacing w:line="360" w:lineRule="auto"/>
              <w:ind w:firstLine="480" w:firstLineChars="200"/>
              <w:rPr>
                <w:sz w:val="22"/>
                <w:szCs w:val="22"/>
              </w:rPr>
            </w:pPr>
            <w:r>
              <w:rPr>
                <w:sz w:val="24"/>
              </w:rPr>
              <w:t>近三年来具有 2 个类似业绩</w:t>
            </w:r>
            <w:r>
              <w:rPr>
                <w:rFonts w:hint="eastAsia"/>
                <w:sz w:val="24"/>
              </w:rPr>
              <w:t>（</w:t>
            </w:r>
            <w:r>
              <w:rPr>
                <w:sz w:val="24"/>
              </w:rPr>
              <w:t>近三年：</w:t>
            </w:r>
            <w:r>
              <w:rPr>
                <w:rFonts w:hint="eastAsia"/>
                <w:sz w:val="24"/>
              </w:rPr>
              <w:t>指</w:t>
            </w:r>
            <w:r>
              <w:rPr>
                <w:sz w:val="24"/>
              </w:rPr>
              <w:t>2016 年</w:t>
            </w:r>
            <w:r>
              <w:rPr>
                <w:rFonts w:hint="eastAsia"/>
                <w:sz w:val="24"/>
              </w:rPr>
              <w:t>1</w:t>
            </w:r>
            <w:r>
              <w:rPr>
                <w:sz w:val="24"/>
              </w:rPr>
              <w:t>月1日至今</w:t>
            </w:r>
            <w:r>
              <w:rPr>
                <w:rFonts w:hint="eastAsia"/>
                <w:sz w:val="24"/>
              </w:rPr>
              <w:t>。类似业绩：详后附说明）</w:t>
            </w:r>
          </w:p>
        </w:tc>
      </w:tr>
    </w:tbl>
    <w:p>
      <w:pPr>
        <w:spacing w:line="360" w:lineRule="auto"/>
        <w:jc w:val="center"/>
        <w:rPr>
          <w:b/>
          <w:bCs/>
          <w:sz w:val="22"/>
          <w:szCs w:val="22"/>
        </w:rPr>
      </w:pPr>
    </w:p>
    <w:p>
      <w:pPr>
        <w:spacing w:line="360" w:lineRule="auto"/>
        <w:jc w:val="center"/>
        <w:rPr>
          <w:b/>
          <w:bCs/>
          <w:sz w:val="22"/>
          <w:szCs w:val="22"/>
        </w:rPr>
      </w:pPr>
      <w:r>
        <w:rPr>
          <w:b/>
          <w:bCs/>
          <w:sz w:val="22"/>
          <w:szCs w:val="22"/>
        </w:rPr>
        <w:t>附录</w:t>
      </w:r>
      <w:r>
        <w:rPr>
          <w:rFonts w:hint="eastAsia"/>
          <w:b/>
          <w:bCs/>
          <w:sz w:val="22"/>
          <w:szCs w:val="22"/>
        </w:rPr>
        <w:t>3</w:t>
      </w:r>
      <w:r>
        <w:rPr>
          <w:b/>
          <w:bCs/>
          <w:sz w:val="22"/>
          <w:szCs w:val="22"/>
        </w:rPr>
        <w:t xml:space="preserve">   资格审查条件（主要人员最低要求）</w:t>
      </w:r>
    </w:p>
    <w:tbl>
      <w:tblPr>
        <w:tblStyle w:val="61"/>
        <w:tblW w:w="91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588"/>
        <w:gridCol w:w="1374"/>
        <w:gridCol w:w="6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39" w:hRule="atLeast"/>
          <w:jc w:val="center"/>
        </w:trPr>
        <w:tc>
          <w:tcPr>
            <w:tcW w:w="1588" w:type="dxa"/>
            <w:vAlign w:val="center"/>
          </w:tcPr>
          <w:p>
            <w:pPr>
              <w:jc w:val="center"/>
              <w:rPr>
                <w:sz w:val="22"/>
                <w:szCs w:val="22"/>
              </w:rPr>
            </w:pPr>
            <w:r>
              <w:rPr>
                <w:sz w:val="22"/>
                <w:szCs w:val="22"/>
              </w:rPr>
              <w:t>人员</w:t>
            </w:r>
          </w:p>
        </w:tc>
        <w:tc>
          <w:tcPr>
            <w:tcW w:w="1374" w:type="dxa"/>
            <w:vAlign w:val="center"/>
          </w:tcPr>
          <w:p>
            <w:pPr>
              <w:jc w:val="center"/>
              <w:rPr>
                <w:sz w:val="22"/>
                <w:szCs w:val="22"/>
              </w:rPr>
            </w:pPr>
            <w:r>
              <w:rPr>
                <w:sz w:val="22"/>
                <w:szCs w:val="22"/>
              </w:rPr>
              <w:t>数量</w:t>
            </w:r>
          </w:p>
        </w:tc>
        <w:tc>
          <w:tcPr>
            <w:tcW w:w="6164" w:type="dxa"/>
            <w:vAlign w:val="center"/>
          </w:tcPr>
          <w:p>
            <w:pPr>
              <w:jc w:val="center"/>
              <w:rPr>
                <w:sz w:val="22"/>
                <w:szCs w:val="22"/>
              </w:rPr>
            </w:pPr>
            <w:r>
              <w:rPr>
                <w:sz w:val="22"/>
                <w:szCs w:val="22"/>
              </w:rPr>
              <w:t>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31" w:hRule="atLeast"/>
          <w:jc w:val="center"/>
        </w:trPr>
        <w:tc>
          <w:tcPr>
            <w:tcW w:w="1588" w:type="dxa"/>
            <w:vAlign w:val="center"/>
          </w:tcPr>
          <w:p>
            <w:pPr>
              <w:jc w:val="center"/>
              <w:rPr>
                <w:sz w:val="22"/>
                <w:szCs w:val="22"/>
              </w:rPr>
            </w:pPr>
            <w:r>
              <w:rPr>
                <w:sz w:val="22"/>
                <w:szCs w:val="22"/>
              </w:rPr>
              <w:t>项目负责人</w:t>
            </w:r>
          </w:p>
        </w:tc>
        <w:tc>
          <w:tcPr>
            <w:tcW w:w="1374" w:type="dxa"/>
            <w:vAlign w:val="center"/>
          </w:tcPr>
          <w:p>
            <w:pPr>
              <w:jc w:val="center"/>
              <w:rPr>
                <w:sz w:val="22"/>
                <w:szCs w:val="22"/>
              </w:rPr>
            </w:pPr>
            <w:r>
              <w:rPr>
                <w:rFonts w:hint="eastAsia"/>
                <w:sz w:val="22"/>
                <w:szCs w:val="22"/>
              </w:rPr>
              <w:t>1</w:t>
            </w:r>
          </w:p>
        </w:tc>
        <w:tc>
          <w:tcPr>
            <w:tcW w:w="6164" w:type="dxa"/>
            <w:vAlign w:val="center"/>
          </w:tcPr>
          <w:p>
            <w:pPr>
              <w:jc w:val="left"/>
              <w:rPr>
                <w:sz w:val="22"/>
                <w:szCs w:val="22"/>
              </w:rPr>
            </w:pPr>
            <w:r>
              <w:rPr>
                <w:sz w:val="22"/>
                <w:szCs w:val="22"/>
              </w:rPr>
              <w:t>具有建设部土建或安装专业注册造价师执业资格证书，且在本企业注册一年以上，须提供在本单位连续缴纳的社会保险证明（2018 年</w:t>
            </w:r>
            <w:r>
              <w:rPr>
                <w:rFonts w:hint="eastAsia"/>
                <w:sz w:val="22"/>
                <w:szCs w:val="22"/>
              </w:rPr>
              <w:t>1</w:t>
            </w:r>
            <w:r>
              <w:rPr>
                <w:sz w:val="22"/>
                <w:szCs w:val="22"/>
              </w:rPr>
              <w:t>月后至少12个月，含2018年</w:t>
            </w:r>
            <w:r>
              <w:rPr>
                <w:rFonts w:hint="eastAsia"/>
                <w:sz w:val="22"/>
                <w:szCs w:val="22"/>
              </w:rPr>
              <w:t>1</w:t>
            </w:r>
            <w:r>
              <w:rPr>
                <w:sz w:val="22"/>
                <w:szCs w:val="22"/>
              </w:rPr>
              <w:t>月）；近三年来在1个类似业绩中担任过项目负责人。</w:t>
            </w:r>
          </w:p>
        </w:tc>
      </w:tr>
    </w:tbl>
    <w:p>
      <w:pPr>
        <w:spacing w:before="156"/>
        <w:rPr>
          <w:b/>
          <w:sz w:val="28"/>
          <w:szCs w:val="28"/>
        </w:rPr>
      </w:pPr>
    </w:p>
    <w:p>
      <w:pPr>
        <w:spacing w:before="156"/>
        <w:rPr>
          <w:b/>
          <w:sz w:val="28"/>
          <w:szCs w:val="28"/>
        </w:rPr>
        <w:sectPr>
          <w:headerReference r:id="rId14" w:type="first"/>
          <w:footerReference r:id="rId17" w:type="first"/>
          <w:footerReference r:id="rId15" w:type="default"/>
          <w:headerReference r:id="rId13" w:type="even"/>
          <w:footerReference r:id="rId16" w:type="even"/>
          <w:footnotePr>
            <w:numFmt w:val="decimalEnclosedCircleChinese"/>
            <w:numRestart w:val="eachPage"/>
          </w:footnotePr>
          <w:pgSz w:w="11906" w:h="16838"/>
          <w:pgMar w:top="1418" w:right="1304" w:bottom="1418" w:left="1588" w:header="851" w:footer="851" w:gutter="0"/>
          <w:cols w:space="720" w:num="1"/>
          <w:docGrid w:linePitch="312" w:charSpace="0"/>
        </w:sectPr>
      </w:pPr>
    </w:p>
    <w:p>
      <w:pPr>
        <w:spacing w:before="156"/>
        <w:jc w:val="center"/>
        <w:rPr>
          <w:b/>
          <w:sz w:val="28"/>
          <w:szCs w:val="28"/>
        </w:rPr>
      </w:pPr>
      <w:r>
        <w:rPr>
          <w:b/>
          <w:sz w:val="28"/>
          <w:szCs w:val="28"/>
        </w:rPr>
        <w:t>一、总则</w:t>
      </w:r>
    </w:p>
    <w:p>
      <w:pPr>
        <w:spacing w:before="156"/>
        <w:jc w:val="left"/>
        <w:rPr>
          <w:sz w:val="24"/>
        </w:rPr>
      </w:pPr>
      <w:r>
        <w:rPr>
          <w:b/>
          <w:sz w:val="24"/>
        </w:rPr>
        <w:t>（一）方式</w:t>
      </w:r>
    </w:p>
    <w:p>
      <w:pPr>
        <w:ind w:firstLine="480" w:firstLineChars="200"/>
        <w:rPr>
          <w:b/>
          <w:sz w:val="24"/>
        </w:rPr>
      </w:pPr>
      <w:r>
        <w:rPr>
          <w:sz w:val="24"/>
        </w:rPr>
        <w:t>本项目采取</w:t>
      </w:r>
      <w:r>
        <w:rPr>
          <w:rFonts w:hint="eastAsia"/>
          <w:sz w:val="24"/>
        </w:rPr>
        <w:t>公开询比采购</w:t>
      </w:r>
      <w:r>
        <w:rPr>
          <w:sz w:val="24"/>
        </w:rPr>
        <w:t>方式。本</w:t>
      </w:r>
      <w:r>
        <w:rPr>
          <w:rFonts w:hint="eastAsia"/>
          <w:sz w:val="24"/>
        </w:rPr>
        <w:t>采购</w:t>
      </w:r>
      <w:r>
        <w:rPr>
          <w:sz w:val="24"/>
        </w:rPr>
        <w:t>文件仅适用于</w:t>
      </w:r>
      <w:r>
        <w:rPr>
          <w:rFonts w:hint="eastAsia"/>
          <w:b/>
          <w:bCs/>
          <w:sz w:val="24"/>
        </w:rPr>
        <w:t>安联湾区时代项目总承包工程造价咨询服务采购</w:t>
      </w:r>
      <w:r>
        <w:rPr>
          <w:sz w:val="24"/>
        </w:rPr>
        <w:t>。</w:t>
      </w:r>
    </w:p>
    <w:p>
      <w:pPr>
        <w:spacing w:before="156"/>
        <w:jc w:val="left"/>
        <w:rPr>
          <w:sz w:val="24"/>
        </w:rPr>
      </w:pPr>
      <w:r>
        <w:rPr>
          <w:b/>
          <w:sz w:val="24"/>
        </w:rPr>
        <w:t>（二）适用法律</w:t>
      </w:r>
    </w:p>
    <w:p>
      <w:pPr>
        <w:pStyle w:val="33"/>
        <w:spacing w:line="240" w:lineRule="auto"/>
        <w:ind w:firstLine="480"/>
        <w:rPr>
          <w:rFonts w:ascii="Times New Roman" w:hAnsi="Times New Roman"/>
          <w:sz w:val="24"/>
          <w:szCs w:val="24"/>
        </w:rPr>
      </w:pPr>
      <w:r>
        <w:rPr>
          <w:rFonts w:ascii="Times New Roman" w:hAnsi="Times New Roman"/>
          <w:sz w:val="24"/>
          <w:szCs w:val="24"/>
        </w:rPr>
        <w:t>本次询比</w:t>
      </w:r>
      <w:r>
        <w:rPr>
          <w:rFonts w:hint="eastAsia" w:ascii="Times New Roman" w:hAnsi="Times New Roman"/>
          <w:sz w:val="24"/>
          <w:szCs w:val="24"/>
        </w:rPr>
        <w:t>采购</w:t>
      </w:r>
      <w:r>
        <w:rPr>
          <w:rFonts w:ascii="Times New Roman" w:hAnsi="Times New Roman"/>
          <w:sz w:val="24"/>
          <w:szCs w:val="24"/>
        </w:rPr>
        <w:t>及由本次询比</w:t>
      </w:r>
      <w:r>
        <w:rPr>
          <w:rFonts w:hint="eastAsia" w:ascii="Times New Roman" w:hAnsi="Times New Roman"/>
          <w:sz w:val="24"/>
          <w:szCs w:val="24"/>
        </w:rPr>
        <w:t>采购</w:t>
      </w:r>
      <w:r>
        <w:rPr>
          <w:rFonts w:ascii="Times New Roman" w:hAnsi="Times New Roman"/>
          <w:sz w:val="24"/>
          <w:szCs w:val="24"/>
        </w:rPr>
        <w:t>产生的合同受中华人民共和国的相关法律、法规制约和保护。</w:t>
      </w:r>
    </w:p>
    <w:p>
      <w:pPr>
        <w:spacing w:before="156"/>
        <w:jc w:val="left"/>
        <w:rPr>
          <w:sz w:val="24"/>
        </w:rPr>
      </w:pPr>
      <w:r>
        <w:rPr>
          <w:b/>
          <w:sz w:val="24"/>
        </w:rPr>
        <w:t>（三）</w:t>
      </w:r>
      <w:r>
        <w:rPr>
          <w:rFonts w:hint="eastAsia"/>
          <w:b/>
          <w:sz w:val="24"/>
        </w:rPr>
        <w:t>采购</w:t>
      </w:r>
      <w:r>
        <w:rPr>
          <w:b/>
          <w:sz w:val="24"/>
        </w:rPr>
        <w:t>费用</w:t>
      </w:r>
    </w:p>
    <w:p>
      <w:pPr>
        <w:ind w:firstLine="480" w:firstLineChars="200"/>
        <w:jc w:val="left"/>
        <w:rPr>
          <w:sz w:val="24"/>
        </w:rPr>
      </w:pPr>
      <w:r>
        <w:rPr>
          <w:rFonts w:hint="eastAsia"/>
          <w:sz w:val="24"/>
        </w:rPr>
        <w:t>响应人</w:t>
      </w:r>
      <w:r>
        <w:rPr>
          <w:sz w:val="24"/>
        </w:rPr>
        <w:t>应自行承担所有参加询比有关的费用。</w:t>
      </w:r>
    </w:p>
    <w:p>
      <w:pPr>
        <w:spacing w:before="156"/>
        <w:jc w:val="left"/>
        <w:rPr>
          <w:sz w:val="24"/>
        </w:rPr>
      </w:pPr>
      <w:r>
        <w:rPr>
          <w:b/>
          <w:sz w:val="24"/>
        </w:rPr>
        <w:t>（四）</w:t>
      </w:r>
      <w:r>
        <w:rPr>
          <w:rFonts w:hint="eastAsia"/>
          <w:b/>
          <w:sz w:val="24"/>
        </w:rPr>
        <w:t>采购</w:t>
      </w:r>
      <w:r>
        <w:rPr>
          <w:b/>
          <w:sz w:val="24"/>
        </w:rPr>
        <w:t>文件的约束力</w:t>
      </w:r>
    </w:p>
    <w:p>
      <w:pPr>
        <w:ind w:firstLine="480" w:firstLineChars="200"/>
        <w:rPr>
          <w:sz w:val="24"/>
        </w:rPr>
      </w:pPr>
      <w:r>
        <w:rPr>
          <w:rFonts w:hint="eastAsia"/>
          <w:sz w:val="24"/>
        </w:rPr>
        <w:t>响应人</w:t>
      </w:r>
      <w:r>
        <w:rPr>
          <w:sz w:val="24"/>
        </w:rPr>
        <w:t>一旦领取了本</w:t>
      </w:r>
      <w:r>
        <w:rPr>
          <w:rFonts w:hint="eastAsia"/>
          <w:sz w:val="24"/>
        </w:rPr>
        <w:t>采购</w:t>
      </w:r>
      <w:r>
        <w:rPr>
          <w:sz w:val="24"/>
        </w:rPr>
        <w:t>文件并参加本项目询比，即被认为接受了本</w:t>
      </w:r>
      <w:r>
        <w:rPr>
          <w:rFonts w:hint="eastAsia"/>
          <w:sz w:val="24"/>
        </w:rPr>
        <w:t>采购</w:t>
      </w:r>
      <w:r>
        <w:rPr>
          <w:sz w:val="24"/>
        </w:rPr>
        <w:t>文件中的所有条件和规定。</w:t>
      </w:r>
    </w:p>
    <w:p>
      <w:pPr>
        <w:spacing w:before="156"/>
        <w:jc w:val="center"/>
        <w:rPr>
          <w:b/>
          <w:sz w:val="28"/>
          <w:szCs w:val="28"/>
        </w:rPr>
      </w:pPr>
      <w:r>
        <w:rPr>
          <w:b/>
          <w:sz w:val="28"/>
          <w:szCs w:val="28"/>
        </w:rPr>
        <w:t>二、</w:t>
      </w:r>
      <w:r>
        <w:rPr>
          <w:rFonts w:hint="eastAsia"/>
          <w:b/>
          <w:sz w:val="28"/>
          <w:szCs w:val="28"/>
        </w:rPr>
        <w:t>采购文件</w:t>
      </w:r>
    </w:p>
    <w:p>
      <w:pPr>
        <w:spacing w:before="156"/>
        <w:jc w:val="left"/>
        <w:rPr>
          <w:sz w:val="24"/>
        </w:rPr>
      </w:pPr>
      <w:r>
        <w:rPr>
          <w:b/>
          <w:sz w:val="24"/>
        </w:rPr>
        <w:t>（五）</w:t>
      </w:r>
      <w:r>
        <w:rPr>
          <w:rFonts w:hint="eastAsia"/>
          <w:b/>
          <w:sz w:val="24"/>
        </w:rPr>
        <w:t>采购</w:t>
      </w:r>
      <w:r>
        <w:rPr>
          <w:b/>
          <w:sz w:val="24"/>
        </w:rPr>
        <w:t>文件构成</w:t>
      </w:r>
    </w:p>
    <w:p>
      <w:pPr>
        <w:ind w:firstLine="240" w:firstLineChars="100"/>
        <w:jc w:val="left"/>
        <w:rPr>
          <w:sz w:val="24"/>
        </w:rPr>
      </w:pPr>
      <w:r>
        <w:rPr>
          <w:sz w:val="24"/>
        </w:rPr>
        <w:t>（1）</w:t>
      </w:r>
      <w:r>
        <w:rPr>
          <w:rFonts w:hint="eastAsia"/>
          <w:sz w:val="24"/>
        </w:rPr>
        <w:t>采购</w:t>
      </w:r>
      <w:r>
        <w:rPr>
          <w:sz w:val="24"/>
        </w:rPr>
        <w:t>公告；</w:t>
      </w:r>
    </w:p>
    <w:p>
      <w:pPr>
        <w:ind w:firstLine="240" w:firstLineChars="100"/>
        <w:jc w:val="left"/>
        <w:rPr>
          <w:sz w:val="24"/>
        </w:rPr>
      </w:pPr>
      <w:r>
        <w:rPr>
          <w:sz w:val="24"/>
        </w:rPr>
        <w:t>（2）</w:t>
      </w:r>
      <w:r>
        <w:rPr>
          <w:rFonts w:hint="eastAsia"/>
          <w:sz w:val="24"/>
        </w:rPr>
        <w:t>响应人</w:t>
      </w:r>
      <w:r>
        <w:rPr>
          <w:sz w:val="24"/>
        </w:rPr>
        <w:t>须知；</w:t>
      </w:r>
    </w:p>
    <w:p>
      <w:pPr>
        <w:ind w:firstLine="240" w:firstLineChars="100"/>
        <w:jc w:val="left"/>
        <w:rPr>
          <w:sz w:val="24"/>
        </w:rPr>
      </w:pPr>
      <w:r>
        <w:rPr>
          <w:sz w:val="24"/>
        </w:rPr>
        <w:t>（3）评审办法；</w:t>
      </w:r>
    </w:p>
    <w:p>
      <w:pPr>
        <w:ind w:firstLine="240" w:firstLineChars="100"/>
        <w:jc w:val="left"/>
        <w:rPr>
          <w:sz w:val="24"/>
        </w:rPr>
      </w:pPr>
      <w:r>
        <w:rPr>
          <w:sz w:val="24"/>
        </w:rPr>
        <w:t>（4）合同条款及格式；</w:t>
      </w:r>
    </w:p>
    <w:p>
      <w:pPr>
        <w:ind w:firstLine="240" w:firstLineChars="100"/>
        <w:jc w:val="left"/>
        <w:rPr>
          <w:sz w:val="24"/>
        </w:rPr>
      </w:pPr>
      <w:r>
        <w:rPr>
          <w:sz w:val="24"/>
        </w:rPr>
        <w:t>（5）</w:t>
      </w:r>
      <w:r>
        <w:rPr>
          <w:rFonts w:hint="eastAsia"/>
          <w:sz w:val="24"/>
        </w:rPr>
        <w:t>响应</w:t>
      </w:r>
      <w:r>
        <w:rPr>
          <w:sz w:val="24"/>
        </w:rPr>
        <w:t>文件格式。</w:t>
      </w:r>
    </w:p>
    <w:p>
      <w:pPr>
        <w:ind w:firstLine="480" w:firstLineChars="200"/>
        <w:jc w:val="left"/>
        <w:rPr>
          <w:sz w:val="24"/>
        </w:rPr>
      </w:pPr>
      <w:r>
        <w:rPr>
          <w:rFonts w:hint="eastAsia"/>
          <w:sz w:val="24"/>
        </w:rPr>
        <w:t>响应人</w:t>
      </w:r>
      <w:r>
        <w:rPr>
          <w:sz w:val="24"/>
        </w:rPr>
        <w:t>收到</w:t>
      </w:r>
      <w:r>
        <w:rPr>
          <w:rFonts w:hint="eastAsia"/>
          <w:sz w:val="24"/>
        </w:rPr>
        <w:t>采购文件</w:t>
      </w:r>
      <w:r>
        <w:rPr>
          <w:sz w:val="24"/>
        </w:rPr>
        <w:t>后，仔细检查</w:t>
      </w:r>
      <w:r>
        <w:rPr>
          <w:rFonts w:hint="eastAsia"/>
          <w:sz w:val="24"/>
        </w:rPr>
        <w:t>采购文件</w:t>
      </w:r>
      <w:r>
        <w:rPr>
          <w:sz w:val="24"/>
        </w:rPr>
        <w:t>页数和附件数量，如发现有缺漏，请即时与采购人联系补全。如果</w:t>
      </w:r>
      <w:r>
        <w:rPr>
          <w:rFonts w:hint="eastAsia"/>
          <w:sz w:val="24"/>
        </w:rPr>
        <w:t>响应人</w:t>
      </w:r>
      <w:r>
        <w:rPr>
          <w:sz w:val="24"/>
        </w:rPr>
        <w:t>不按上述要求操作而造成不良后果，采购人不承担责任。</w:t>
      </w:r>
    </w:p>
    <w:p>
      <w:pPr>
        <w:spacing w:before="156"/>
        <w:rPr>
          <w:sz w:val="24"/>
        </w:rPr>
      </w:pPr>
      <w:r>
        <w:rPr>
          <w:b/>
          <w:sz w:val="24"/>
        </w:rPr>
        <w:t>（六）</w:t>
      </w:r>
      <w:r>
        <w:rPr>
          <w:rFonts w:hint="eastAsia"/>
          <w:b/>
          <w:sz w:val="24"/>
        </w:rPr>
        <w:t>采购</w:t>
      </w:r>
      <w:r>
        <w:rPr>
          <w:b/>
          <w:sz w:val="24"/>
        </w:rPr>
        <w:t>文件的澄清</w:t>
      </w:r>
    </w:p>
    <w:p>
      <w:pPr>
        <w:ind w:firstLine="480" w:firstLineChars="200"/>
        <w:jc w:val="left"/>
        <w:rPr>
          <w:sz w:val="24"/>
        </w:rPr>
      </w:pPr>
      <w:r>
        <w:rPr>
          <w:sz w:val="24"/>
        </w:rPr>
        <w:t>任何要求对</w:t>
      </w:r>
      <w:r>
        <w:rPr>
          <w:rFonts w:hint="eastAsia"/>
          <w:sz w:val="24"/>
        </w:rPr>
        <w:t>采购文件</w:t>
      </w:r>
      <w:r>
        <w:rPr>
          <w:sz w:val="24"/>
        </w:rPr>
        <w:t>澄清的</w:t>
      </w:r>
      <w:r>
        <w:rPr>
          <w:rFonts w:hint="eastAsia"/>
          <w:sz w:val="24"/>
        </w:rPr>
        <w:t>响应人</w:t>
      </w:r>
      <w:r>
        <w:rPr>
          <w:sz w:val="24"/>
        </w:rPr>
        <w:t>，均应在</w:t>
      </w:r>
      <w:r>
        <w:rPr>
          <w:rFonts w:hint="eastAsia"/>
          <w:sz w:val="24"/>
        </w:rPr>
        <w:t>递交响应文件截止时间</w:t>
      </w:r>
      <w:r>
        <w:rPr>
          <w:rFonts w:hint="eastAsia"/>
          <w:sz w:val="24"/>
          <w:u w:val="single"/>
        </w:rPr>
        <w:t>3</w:t>
      </w:r>
      <w:r>
        <w:rPr>
          <w:rFonts w:hint="eastAsia"/>
          <w:sz w:val="24"/>
        </w:rPr>
        <w:t>天</w:t>
      </w:r>
      <w:r>
        <w:rPr>
          <w:sz w:val="24"/>
        </w:rPr>
        <w:t>之前按公告中的通讯地址和联系方式，以书面形式（如邮件、信函、传真等）通知采购人，采购人对规定时间内收到的澄清要求以书面形式予以答复，答复包括所有问题，但不包括问题的来源。</w:t>
      </w:r>
    </w:p>
    <w:p>
      <w:pPr>
        <w:spacing w:before="156"/>
        <w:jc w:val="left"/>
        <w:rPr>
          <w:b/>
          <w:sz w:val="24"/>
        </w:rPr>
      </w:pPr>
      <w:r>
        <w:rPr>
          <w:b/>
          <w:sz w:val="24"/>
        </w:rPr>
        <w:t>（七）</w:t>
      </w:r>
      <w:r>
        <w:rPr>
          <w:rFonts w:hint="eastAsia"/>
          <w:b/>
          <w:sz w:val="24"/>
        </w:rPr>
        <w:t>采购</w:t>
      </w:r>
      <w:r>
        <w:rPr>
          <w:b/>
          <w:sz w:val="24"/>
        </w:rPr>
        <w:t>文件的修改</w:t>
      </w:r>
    </w:p>
    <w:p>
      <w:pPr>
        <w:ind w:firstLine="480" w:firstLineChars="200"/>
        <w:jc w:val="left"/>
        <w:rPr>
          <w:sz w:val="24"/>
        </w:rPr>
      </w:pPr>
      <w:r>
        <w:rPr>
          <w:sz w:val="24"/>
        </w:rPr>
        <w:t>1.在</w:t>
      </w:r>
      <w:r>
        <w:rPr>
          <w:rFonts w:hint="eastAsia"/>
          <w:sz w:val="24"/>
        </w:rPr>
        <w:t>采购</w:t>
      </w:r>
      <w:r>
        <w:rPr>
          <w:sz w:val="24"/>
        </w:rPr>
        <w:t>截止日期前，无论出于何种原因，采购人均可以补充文件的形式对</w:t>
      </w:r>
      <w:r>
        <w:rPr>
          <w:rFonts w:hint="eastAsia"/>
          <w:sz w:val="24"/>
        </w:rPr>
        <w:t>采购文件</w:t>
      </w:r>
      <w:r>
        <w:rPr>
          <w:sz w:val="24"/>
        </w:rPr>
        <w:t>进行修改。</w:t>
      </w:r>
    </w:p>
    <w:p>
      <w:pPr>
        <w:ind w:firstLine="480" w:firstLineChars="200"/>
        <w:jc w:val="left"/>
        <w:rPr>
          <w:sz w:val="24"/>
        </w:rPr>
      </w:pPr>
      <w:r>
        <w:rPr>
          <w:sz w:val="24"/>
        </w:rPr>
        <w:t>2.</w:t>
      </w:r>
      <w:r>
        <w:rPr>
          <w:rFonts w:hint="eastAsia"/>
          <w:sz w:val="24"/>
        </w:rPr>
        <w:t>采购文件</w:t>
      </w:r>
      <w:r>
        <w:rPr>
          <w:sz w:val="24"/>
        </w:rPr>
        <w:t>的修改</w:t>
      </w:r>
      <w:r>
        <w:rPr>
          <w:rFonts w:hint="eastAsia"/>
          <w:sz w:val="24"/>
        </w:rPr>
        <w:t>将在安徽安联高速公路有限公司网站上发布</w:t>
      </w:r>
      <w:r>
        <w:rPr>
          <w:sz w:val="24"/>
        </w:rPr>
        <w:t>，并对</w:t>
      </w:r>
      <w:r>
        <w:rPr>
          <w:rFonts w:hint="eastAsia"/>
          <w:sz w:val="24"/>
        </w:rPr>
        <w:t>响应人</w:t>
      </w:r>
      <w:r>
        <w:rPr>
          <w:sz w:val="24"/>
        </w:rPr>
        <w:t>具有约束力。采购</w:t>
      </w:r>
      <w:r>
        <w:rPr>
          <w:rFonts w:hint="eastAsia" w:ascii="宋体" w:hAnsi="宋体"/>
          <w:spacing w:val="-6"/>
          <w:kern w:val="11"/>
          <w:sz w:val="24"/>
        </w:rPr>
        <w:t>人不再以其他方式通知，</w:t>
      </w:r>
      <w:r>
        <w:rPr>
          <w:rFonts w:hint="eastAsia"/>
          <w:sz w:val="24"/>
        </w:rPr>
        <w:t>响应人</w:t>
      </w:r>
      <w:r>
        <w:rPr>
          <w:rFonts w:hint="eastAsia" w:ascii="宋体" w:hAnsi="宋体"/>
          <w:spacing w:val="-6"/>
          <w:kern w:val="11"/>
          <w:sz w:val="24"/>
        </w:rPr>
        <w:t>应主动上网查询，</w:t>
      </w:r>
      <w:r>
        <w:rPr>
          <w:sz w:val="24"/>
        </w:rPr>
        <w:t>采购</w:t>
      </w:r>
      <w:r>
        <w:rPr>
          <w:rFonts w:hint="eastAsia" w:ascii="宋体" w:hAnsi="宋体"/>
          <w:spacing w:val="-6"/>
          <w:kern w:val="11"/>
          <w:sz w:val="24"/>
        </w:rPr>
        <w:t>人不承担</w:t>
      </w:r>
      <w:r>
        <w:rPr>
          <w:rFonts w:hint="eastAsia"/>
          <w:sz w:val="24"/>
        </w:rPr>
        <w:t>响应人</w:t>
      </w:r>
      <w:r>
        <w:rPr>
          <w:rFonts w:hint="eastAsia" w:ascii="宋体" w:hAnsi="宋体"/>
          <w:spacing w:val="-6"/>
          <w:kern w:val="11"/>
          <w:sz w:val="24"/>
        </w:rPr>
        <w:t>未及时关注上述信息引发的任何责任</w:t>
      </w:r>
      <w:r>
        <w:rPr>
          <w:sz w:val="24"/>
        </w:rPr>
        <w:t>。</w:t>
      </w:r>
    </w:p>
    <w:p>
      <w:pPr>
        <w:ind w:firstLine="480" w:firstLineChars="200"/>
        <w:jc w:val="left"/>
        <w:rPr>
          <w:sz w:val="24"/>
        </w:rPr>
      </w:pPr>
      <w:r>
        <w:rPr>
          <w:sz w:val="24"/>
        </w:rPr>
        <w:t>3.为使</w:t>
      </w:r>
      <w:r>
        <w:rPr>
          <w:rFonts w:hint="eastAsia"/>
          <w:sz w:val="24"/>
        </w:rPr>
        <w:t>响应人</w:t>
      </w:r>
      <w:r>
        <w:rPr>
          <w:sz w:val="24"/>
        </w:rPr>
        <w:t>有充分的时间对</w:t>
      </w:r>
      <w:r>
        <w:rPr>
          <w:rFonts w:hint="eastAsia"/>
          <w:sz w:val="24"/>
        </w:rPr>
        <w:t>采购文件</w:t>
      </w:r>
      <w:r>
        <w:rPr>
          <w:sz w:val="24"/>
        </w:rPr>
        <w:t>的修改部分进行分析、研究，采购人</w:t>
      </w:r>
      <w:r>
        <w:rPr>
          <w:rFonts w:hint="eastAsia"/>
          <w:sz w:val="24"/>
        </w:rPr>
        <w:t>可以</w:t>
      </w:r>
      <w:r>
        <w:rPr>
          <w:sz w:val="24"/>
        </w:rPr>
        <w:t>推迟询比截止日期</w:t>
      </w:r>
      <w:r>
        <w:rPr>
          <w:rFonts w:hint="eastAsia"/>
          <w:sz w:val="24"/>
        </w:rPr>
        <w:t>，</w:t>
      </w:r>
      <w:r>
        <w:rPr>
          <w:sz w:val="24"/>
        </w:rPr>
        <w:t>并将此变更书面</w:t>
      </w:r>
      <w:r>
        <w:rPr>
          <w:rFonts w:hint="eastAsia"/>
          <w:sz w:val="24"/>
        </w:rPr>
        <w:t>或邮件方式</w:t>
      </w:r>
      <w:r>
        <w:rPr>
          <w:sz w:val="24"/>
        </w:rPr>
        <w:t>通知所有</w:t>
      </w:r>
      <w:r>
        <w:rPr>
          <w:rFonts w:hint="eastAsia"/>
          <w:sz w:val="24"/>
        </w:rPr>
        <w:t>响应人</w:t>
      </w:r>
      <w:r>
        <w:rPr>
          <w:sz w:val="24"/>
        </w:rPr>
        <w:t>。</w:t>
      </w:r>
    </w:p>
    <w:p>
      <w:pPr>
        <w:ind w:firstLine="480" w:firstLineChars="200"/>
        <w:jc w:val="left"/>
        <w:rPr>
          <w:sz w:val="24"/>
        </w:rPr>
      </w:pPr>
      <w:r>
        <w:rPr>
          <w:sz w:val="24"/>
        </w:rPr>
        <w:t>4.采购人发出的所有补充、修改和变更文件均作为</w:t>
      </w:r>
      <w:r>
        <w:rPr>
          <w:rFonts w:hint="eastAsia"/>
          <w:sz w:val="24"/>
        </w:rPr>
        <w:t>采购文件</w:t>
      </w:r>
      <w:r>
        <w:rPr>
          <w:sz w:val="24"/>
        </w:rPr>
        <w:t>的组成部分，与</w:t>
      </w:r>
      <w:r>
        <w:rPr>
          <w:rFonts w:hint="eastAsia"/>
          <w:sz w:val="24"/>
        </w:rPr>
        <w:t>采购文件</w:t>
      </w:r>
      <w:r>
        <w:rPr>
          <w:sz w:val="24"/>
        </w:rPr>
        <w:t>具有同等法律效力。</w:t>
      </w:r>
    </w:p>
    <w:p>
      <w:pPr>
        <w:spacing w:before="156"/>
        <w:jc w:val="center"/>
        <w:rPr>
          <w:b/>
          <w:sz w:val="28"/>
          <w:szCs w:val="28"/>
        </w:rPr>
      </w:pPr>
      <w:r>
        <w:rPr>
          <w:b/>
          <w:sz w:val="28"/>
          <w:szCs w:val="28"/>
        </w:rPr>
        <w:t>三、</w:t>
      </w:r>
      <w:r>
        <w:rPr>
          <w:rFonts w:hint="eastAsia"/>
          <w:b/>
          <w:sz w:val="28"/>
          <w:szCs w:val="28"/>
        </w:rPr>
        <w:t>响应文件</w:t>
      </w:r>
      <w:r>
        <w:rPr>
          <w:b/>
          <w:sz w:val="28"/>
          <w:szCs w:val="28"/>
        </w:rPr>
        <w:t>的编制</w:t>
      </w:r>
    </w:p>
    <w:p>
      <w:pPr>
        <w:spacing w:before="156"/>
        <w:jc w:val="left"/>
        <w:rPr>
          <w:b/>
          <w:sz w:val="24"/>
        </w:rPr>
      </w:pPr>
      <w:r>
        <w:rPr>
          <w:b/>
          <w:sz w:val="24"/>
        </w:rPr>
        <w:t>（八）</w:t>
      </w:r>
      <w:r>
        <w:rPr>
          <w:rFonts w:hint="eastAsia"/>
          <w:b/>
          <w:sz w:val="24"/>
        </w:rPr>
        <w:t>响应文件</w:t>
      </w:r>
      <w:r>
        <w:rPr>
          <w:b/>
          <w:sz w:val="24"/>
        </w:rPr>
        <w:t>的编制要求</w:t>
      </w:r>
    </w:p>
    <w:p>
      <w:pPr>
        <w:ind w:firstLine="480" w:firstLineChars="200"/>
        <w:rPr>
          <w:sz w:val="24"/>
        </w:rPr>
      </w:pPr>
      <w:r>
        <w:rPr>
          <w:sz w:val="24"/>
        </w:rPr>
        <w:t>1.</w:t>
      </w:r>
      <w:r>
        <w:rPr>
          <w:rFonts w:hint="eastAsia"/>
          <w:sz w:val="24"/>
        </w:rPr>
        <w:t>响应人</w:t>
      </w:r>
      <w:r>
        <w:rPr>
          <w:sz w:val="24"/>
        </w:rPr>
        <w:t>应仔细阅读“</w:t>
      </w:r>
      <w:r>
        <w:rPr>
          <w:rFonts w:hint="eastAsia"/>
          <w:sz w:val="24"/>
        </w:rPr>
        <w:t>采购文件</w:t>
      </w:r>
      <w:r>
        <w:rPr>
          <w:sz w:val="24"/>
        </w:rPr>
        <w:t>”的所有内容，按“</w:t>
      </w:r>
      <w:r>
        <w:rPr>
          <w:rFonts w:hint="eastAsia"/>
          <w:sz w:val="24"/>
        </w:rPr>
        <w:t>采购文件</w:t>
      </w:r>
      <w:r>
        <w:rPr>
          <w:sz w:val="24"/>
        </w:rPr>
        <w:t>”的要求编制“</w:t>
      </w:r>
      <w:r>
        <w:rPr>
          <w:rFonts w:hint="eastAsia"/>
          <w:sz w:val="24"/>
        </w:rPr>
        <w:t>响应文件</w:t>
      </w:r>
      <w:r>
        <w:rPr>
          <w:sz w:val="24"/>
        </w:rPr>
        <w:t>”，并保证所提供的全部资料的真实性、完整性及有效性，以使其报价对“</w:t>
      </w:r>
      <w:r>
        <w:rPr>
          <w:rFonts w:hint="eastAsia"/>
          <w:sz w:val="24"/>
        </w:rPr>
        <w:t>采购文件</w:t>
      </w:r>
      <w:r>
        <w:rPr>
          <w:sz w:val="24"/>
        </w:rPr>
        <w:t>”作出实质性响应。否则，可能被拒绝。</w:t>
      </w:r>
    </w:p>
    <w:p>
      <w:pPr>
        <w:spacing w:before="156"/>
        <w:jc w:val="left"/>
        <w:rPr>
          <w:sz w:val="24"/>
        </w:rPr>
      </w:pPr>
      <w:r>
        <w:rPr>
          <w:b/>
          <w:sz w:val="24"/>
        </w:rPr>
        <w:t>（九）</w:t>
      </w:r>
      <w:r>
        <w:rPr>
          <w:rFonts w:hint="eastAsia"/>
          <w:b/>
          <w:sz w:val="24"/>
        </w:rPr>
        <w:t>响应文件</w:t>
      </w:r>
      <w:r>
        <w:rPr>
          <w:b/>
          <w:sz w:val="24"/>
        </w:rPr>
        <w:t>格式</w:t>
      </w:r>
    </w:p>
    <w:p>
      <w:pPr>
        <w:ind w:firstLine="480" w:firstLineChars="200"/>
        <w:rPr>
          <w:sz w:val="24"/>
        </w:rPr>
      </w:pPr>
      <w:r>
        <w:rPr>
          <w:rFonts w:hint="eastAsia"/>
          <w:sz w:val="24"/>
        </w:rPr>
        <w:t>响应人</w:t>
      </w:r>
      <w:r>
        <w:rPr>
          <w:sz w:val="24"/>
        </w:rPr>
        <w:t>应按照</w:t>
      </w:r>
      <w:r>
        <w:rPr>
          <w:rFonts w:hint="eastAsia"/>
          <w:sz w:val="24"/>
        </w:rPr>
        <w:t>采购文件</w:t>
      </w:r>
      <w:r>
        <w:rPr>
          <w:sz w:val="24"/>
        </w:rPr>
        <w:t>中提供的格式填写</w:t>
      </w:r>
      <w:r>
        <w:rPr>
          <w:rFonts w:hint="eastAsia"/>
          <w:sz w:val="24"/>
        </w:rPr>
        <w:t>响应</w:t>
      </w:r>
      <w:r>
        <w:rPr>
          <w:sz w:val="24"/>
        </w:rPr>
        <w:t>函、授权委托书、资格证明材料</w:t>
      </w:r>
    </w:p>
    <w:p>
      <w:pPr>
        <w:rPr>
          <w:sz w:val="24"/>
        </w:rPr>
      </w:pPr>
      <w:r>
        <w:rPr>
          <w:sz w:val="24"/>
        </w:rPr>
        <w:t>项目管理机构等材料。</w:t>
      </w:r>
    </w:p>
    <w:p>
      <w:pPr>
        <w:spacing w:before="156"/>
        <w:jc w:val="left"/>
        <w:rPr>
          <w:sz w:val="24"/>
        </w:rPr>
      </w:pPr>
      <w:r>
        <w:rPr>
          <w:b/>
          <w:sz w:val="24"/>
        </w:rPr>
        <w:t>（十）报价</w:t>
      </w:r>
    </w:p>
    <w:p>
      <w:pPr>
        <w:ind w:firstLine="480" w:firstLineChars="200"/>
        <w:jc w:val="left"/>
        <w:rPr>
          <w:sz w:val="24"/>
        </w:rPr>
      </w:pPr>
      <w:r>
        <w:rPr>
          <w:sz w:val="24"/>
        </w:rPr>
        <w:t>1.采购人只允许有一个报价。不接受备选的报价方案或有选择的报价。</w:t>
      </w:r>
    </w:p>
    <w:p>
      <w:pPr>
        <w:spacing w:line="240" w:lineRule="auto"/>
        <w:ind w:firstLine="480" w:firstLineChars="200"/>
        <w:jc w:val="left"/>
        <w:rPr>
          <w:sz w:val="24"/>
          <w:szCs w:val="24"/>
        </w:rPr>
      </w:pPr>
      <w:r>
        <w:rPr>
          <w:sz w:val="24"/>
          <w:szCs w:val="24"/>
        </w:rPr>
        <w:t>2</w:t>
      </w:r>
      <w:r>
        <w:rPr>
          <w:rFonts w:hint="eastAsia"/>
          <w:sz w:val="24"/>
          <w:szCs w:val="24"/>
        </w:rPr>
        <w:t>、本合同为固定总价合同，不作调整。除非合同另有规定，报价</w:t>
      </w:r>
      <w:r>
        <w:rPr>
          <w:rFonts w:hint="eastAsia"/>
          <w:sz w:val="24"/>
        </w:rPr>
        <w:t>明细</w:t>
      </w:r>
      <w:r>
        <w:rPr>
          <w:rFonts w:hint="eastAsia"/>
          <w:sz w:val="24"/>
          <w:szCs w:val="24"/>
        </w:rPr>
        <w:t>表中有标价的合价及合计金额均已包括了为实施和完成合同所需的所有费用（包括人工、设备、管理、办公、交通、物耗、利润、保险、税费、风险及有关的其它费用等），以及合同明示和暗示的所有责任、义务和一般风险。</w:t>
      </w:r>
    </w:p>
    <w:p>
      <w:pPr>
        <w:spacing w:line="240" w:lineRule="auto"/>
        <w:ind w:firstLine="480" w:firstLineChars="200"/>
        <w:jc w:val="left"/>
        <w:rPr>
          <w:sz w:val="24"/>
          <w:szCs w:val="24"/>
        </w:rPr>
      </w:pPr>
      <w:r>
        <w:rPr>
          <w:rFonts w:hint="eastAsia"/>
          <w:sz w:val="24"/>
          <w:szCs w:val="24"/>
        </w:rPr>
        <w:t>3、响应人在填报费用时应综合考虑以下因素：响应人所提供的各级人员、设备及交通、办公、生活设施均应满足采购文件及项目现场要求，并在此基础上根据工作需要增加配置。有关费用均计入报价中，采购人不另行支付。</w:t>
      </w:r>
    </w:p>
    <w:p>
      <w:pPr>
        <w:spacing w:line="240" w:lineRule="auto"/>
        <w:ind w:firstLine="480" w:firstLineChars="200"/>
        <w:jc w:val="left"/>
        <w:rPr>
          <w:sz w:val="24"/>
          <w:szCs w:val="24"/>
        </w:rPr>
      </w:pPr>
      <w:r>
        <w:rPr>
          <w:rFonts w:hint="eastAsia"/>
          <w:sz w:val="24"/>
          <w:szCs w:val="24"/>
        </w:rPr>
        <w:t>4、响应人应在报价中充分考虑不同复杂程度的变化以及可能带来的风险。</w:t>
      </w:r>
    </w:p>
    <w:p>
      <w:pPr>
        <w:ind w:firstLine="480" w:firstLineChars="200"/>
        <w:jc w:val="left"/>
        <w:rPr>
          <w:sz w:val="24"/>
        </w:rPr>
      </w:pPr>
      <w:r>
        <w:rPr>
          <w:sz w:val="24"/>
        </w:rPr>
        <w:t>5.</w:t>
      </w:r>
      <w:r>
        <w:rPr>
          <w:rFonts w:hint="eastAsia"/>
          <w:sz w:val="24"/>
        </w:rPr>
        <w:t>响应人</w:t>
      </w:r>
      <w:r>
        <w:rPr>
          <w:sz w:val="24"/>
        </w:rPr>
        <w:t>报价时应充分考虑所有可能影响到报价的价格因素，一旦评审结束最终成交，总价将包定，不予调整。如发生漏、缺、少项，都将被认为是成交人的报价让利行为，损失自负。</w:t>
      </w:r>
    </w:p>
    <w:p>
      <w:pPr>
        <w:ind w:firstLine="480" w:firstLineChars="200"/>
        <w:jc w:val="left"/>
        <w:rPr>
          <w:sz w:val="24"/>
        </w:rPr>
      </w:pPr>
      <w:r>
        <w:rPr>
          <w:sz w:val="24"/>
        </w:rPr>
        <w:t>6.报价编制要求</w:t>
      </w:r>
    </w:p>
    <w:p>
      <w:pPr>
        <w:ind w:firstLine="480" w:firstLineChars="200"/>
        <w:jc w:val="left"/>
        <w:rPr>
          <w:sz w:val="24"/>
        </w:rPr>
      </w:pPr>
      <w:r>
        <w:rPr>
          <w:sz w:val="24"/>
        </w:rPr>
        <w:t>（1）本次报价以采购人提供的</w:t>
      </w:r>
      <w:r>
        <w:rPr>
          <w:rFonts w:hint="eastAsia"/>
          <w:sz w:val="24"/>
        </w:rPr>
        <w:t>响应函</w:t>
      </w:r>
      <w:r>
        <w:rPr>
          <w:sz w:val="24"/>
        </w:rPr>
        <w:t>为准，根据市场行情自主报价；</w:t>
      </w:r>
    </w:p>
    <w:p>
      <w:pPr>
        <w:ind w:firstLine="480" w:firstLineChars="200"/>
        <w:jc w:val="left"/>
        <w:rPr>
          <w:sz w:val="24"/>
        </w:rPr>
      </w:pPr>
      <w:r>
        <w:rPr>
          <w:sz w:val="24"/>
        </w:rPr>
        <w:t>（2）</w:t>
      </w:r>
      <w:r>
        <w:rPr>
          <w:rFonts w:hint="eastAsia"/>
          <w:sz w:val="24"/>
        </w:rPr>
        <w:t>响应文件</w:t>
      </w:r>
      <w:r>
        <w:rPr>
          <w:sz w:val="24"/>
        </w:rPr>
        <w:t>中的单价、合价均用人民币表示。</w:t>
      </w:r>
      <w:r>
        <w:rPr>
          <w:rFonts w:hint="eastAsia"/>
          <w:sz w:val="24"/>
        </w:rPr>
        <w:t>响应人</w:t>
      </w:r>
      <w:r>
        <w:rPr>
          <w:sz w:val="24"/>
        </w:rPr>
        <w:t>应按采购人提供的</w:t>
      </w:r>
      <w:r>
        <w:rPr>
          <w:rFonts w:hint="eastAsia"/>
          <w:sz w:val="24"/>
        </w:rPr>
        <w:t>采购文件</w:t>
      </w:r>
      <w:r>
        <w:rPr>
          <w:sz w:val="24"/>
        </w:rPr>
        <w:t>、报价清单、相关的技术资料等，自主进行报价，但报价不得低于成本价。</w:t>
      </w:r>
    </w:p>
    <w:p>
      <w:pPr>
        <w:spacing w:before="156"/>
        <w:jc w:val="left"/>
        <w:rPr>
          <w:sz w:val="24"/>
        </w:rPr>
      </w:pPr>
      <w:r>
        <w:rPr>
          <w:b/>
          <w:sz w:val="24"/>
        </w:rPr>
        <w:t>（十一）报价有效期</w:t>
      </w:r>
    </w:p>
    <w:p>
      <w:pPr>
        <w:ind w:firstLine="480" w:firstLineChars="200"/>
        <w:jc w:val="left"/>
        <w:rPr>
          <w:sz w:val="24"/>
        </w:rPr>
      </w:pPr>
      <w:r>
        <w:rPr>
          <w:sz w:val="24"/>
        </w:rPr>
        <w:t>1.报价有效期为</w:t>
      </w:r>
      <w:r>
        <w:rPr>
          <w:rFonts w:hint="eastAsia"/>
          <w:sz w:val="24"/>
        </w:rPr>
        <w:t>响应人</w:t>
      </w:r>
      <w:r>
        <w:rPr>
          <w:sz w:val="24"/>
        </w:rPr>
        <w:t>提交</w:t>
      </w:r>
      <w:r>
        <w:rPr>
          <w:rFonts w:hint="eastAsia"/>
          <w:sz w:val="24"/>
        </w:rPr>
        <w:t>响应文件</w:t>
      </w:r>
      <w:r>
        <w:rPr>
          <w:sz w:val="24"/>
        </w:rPr>
        <w:t>截止之日起</w:t>
      </w:r>
      <w:r>
        <w:rPr>
          <w:sz w:val="24"/>
          <w:u w:val="single"/>
        </w:rPr>
        <w:t>60</w:t>
      </w:r>
      <w:r>
        <w:rPr>
          <w:sz w:val="24"/>
        </w:rPr>
        <w:t>天。</w:t>
      </w:r>
    </w:p>
    <w:p>
      <w:pPr>
        <w:ind w:firstLine="480" w:firstLineChars="200"/>
        <w:jc w:val="left"/>
        <w:rPr>
          <w:sz w:val="24"/>
        </w:rPr>
      </w:pPr>
      <w:r>
        <w:rPr>
          <w:sz w:val="24"/>
        </w:rPr>
        <w:t>2.在特殊情况下，采购人于原报价有效期满之前，可向</w:t>
      </w:r>
      <w:r>
        <w:rPr>
          <w:rFonts w:hint="eastAsia"/>
          <w:sz w:val="24"/>
        </w:rPr>
        <w:t>响应人</w:t>
      </w:r>
      <w:r>
        <w:rPr>
          <w:sz w:val="24"/>
        </w:rPr>
        <w:t>提出延长谈判有效期的要求，这种要求与答复均应采用书面形式（如邮件、信件、传真或电报等），</w:t>
      </w:r>
      <w:r>
        <w:rPr>
          <w:rFonts w:hint="eastAsia"/>
          <w:sz w:val="24"/>
        </w:rPr>
        <w:t>响应人</w:t>
      </w:r>
      <w:r>
        <w:rPr>
          <w:sz w:val="24"/>
        </w:rPr>
        <w:t>可以拒绝采购人的这一要求而放弃报价，同意延长的</w:t>
      </w:r>
      <w:r>
        <w:rPr>
          <w:rFonts w:hint="eastAsia"/>
          <w:sz w:val="24"/>
        </w:rPr>
        <w:t>响应人</w:t>
      </w:r>
      <w:r>
        <w:rPr>
          <w:sz w:val="24"/>
        </w:rPr>
        <w:t>既不能要求也不允许修改其</w:t>
      </w:r>
      <w:r>
        <w:rPr>
          <w:rFonts w:hint="eastAsia"/>
          <w:sz w:val="24"/>
        </w:rPr>
        <w:t>响应文件</w:t>
      </w:r>
      <w:r>
        <w:rPr>
          <w:sz w:val="24"/>
        </w:rPr>
        <w:t>。</w:t>
      </w:r>
    </w:p>
    <w:p>
      <w:pPr>
        <w:spacing w:before="156"/>
        <w:jc w:val="left"/>
        <w:rPr>
          <w:sz w:val="24"/>
        </w:rPr>
      </w:pPr>
      <w:r>
        <w:rPr>
          <w:b/>
          <w:sz w:val="24"/>
        </w:rPr>
        <w:t>（十二）</w:t>
      </w:r>
      <w:r>
        <w:rPr>
          <w:rFonts w:hint="eastAsia"/>
          <w:b/>
          <w:sz w:val="24"/>
        </w:rPr>
        <w:t>响应文件</w:t>
      </w:r>
      <w:r>
        <w:rPr>
          <w:b/>
          <w:sz w:val="24"/>
        </w:rPr>
        <w:t>份数和签署</w:t>
      </w:r>
    </w:p>
    <w:p>
      <w:pPr>
        <w:ind w:firstLine="480" w:firstLineChars="200"/>
        <w:jc w:val="left"/>
        <w:rPr>
          <w:sz w:val="24"/>
        </w:rPr>
      </w:pPr>
      <w:r>
        <w:rPr>
          <w:sz w:val="24"/>
        </w:rPr>
        <w:t>1.</w:t>
      </w:r>
      <w:r>
        <w:rPr>
          <w:rFonts w:hint="eastAsia"/>
          <w:sz w:val="24"/>
        </w:rPr>
        <w:t>响应人</w:t>
      </w:r>
      <w:r>
        <w:rPr>
          <w:sz w:val="24"/>
        </w:rPr>
        <w:t>应严格按照</w:t>
      </w:r>
      <w:r>
        <w:rPr>
          <w:rFonts w:hint="eastAsia"/>
          <w:sz w:val="24"/>
        </w:rPr>
        <w:t>响应人</w:t>
      </w:r>
      <w:r>
        <w:rPr>
          <w:sz w:val="24"/>
        </w:rPr>
        <w:t>须知的要求准备</w:t>
      </w:r>
      <w:r>
        <w:rPr>
          <w:rFonts w:hint="eastAsia"/>
          <w:sz w:val="24"/>
        </w:rPr>
        <w:t>响应文件</w:t>
      </w:r>
      <w:r>
        <w:rPr>
          <w:sz w:val="24"/>
        </w:rPr>
        <w:t>，每份</w:t>
      </w:r>
      <w:r>
        <w:rPr>
          <w:rFonts w:hint="eastAsia"/>
          <w:sz w:val="24"/>
        </w:rPr>
        <w:t>响应文件</w:t>
      </w:r>
      <w:r>
        <w:rPr>
          <w:sz w:val="24"/>
        </w:rPr>
        <w:t>封面显著处必须清楚地标明“正本”或“副本”字样。一旦正本和副本不符，以正本为准，</w:t>
      </w:r>
      <w:r>
        <w:rPr>
          <w:rFonts w:hint="eastAsia"/>
          <w:sz w:val="24"/>
        </w:rPr>
        <w:t>响应文件</w:t>
      </w:r>
      <w:r>
        <w:rPr>
          <w:sz w:val="24"/>
        </w:rPr>
        <w:t>包括：正本</w:t>
      </w:r>
      <w:r>
        <w:rPr>
          <w:sz w:val="24"/>
          <w:u w:val="single"/>
        </w:rPr>
        <w:t>一</w:t>
      </w:r>
      <w:r>
        <w:rPr>
          <w:sz w:val="24"/>
        </w:rPr>
        <w:t>份，副本</w:t>
      </w:r>
      <w:r>
        <w:rPr>
          <w:sz w:val="24"/>
          <w:u w:val="single"/>
        </w:rPr>
        <w:t>一</w:t>
      </w:r>
      <w:r>
        <w:rPr>
          <w:sz w:val="24"/>
        </w:rPr>
        <w:t>份。</w:t>
      </w:r>
    </w:p>
    <w:p>
      <w:pPr>
        <w:ind w:firstLine="480" w:firstLineChars="200"/>
        <w:jc w:val="left"/>
        <w:rPr>
          <w:sz w:val="24"/>
        </w:rPr>
      </w:pPr>
      <w:r>
        <w:rPr>
          <w:sz w:val="24"/>
        </w:rPr>
        <w:t xml:space="preserve">2. </w:t>
      </w:r>
      <w:r>
        <w:rPr>
          <w:rFonts w:hint="eastAsia"/>
          <w:sz w:val="24"/>
        </w:rPr>
        <w:t>响应文件</w:t>
      </w:r>
      <w:r>
        <w:rPr>
          <w:sz w:val="24"/>
        </w:rPr>
        <w:t>报价函、报价</w:t>
      </w:r>
      <w:r>
        <w:rPr>
          <w:rFonts w:hint="eastAsia"/>
          <w:sz w:val="24"/>
        </w:rPr>
        <w:t>明细表</w:t>
      </w:r>
      <w:r>
        <w:rPr>
          <w:sz w:val="24"/>
        </w:rPr>
        <w:t>和拟投入本项目的主要人员明细表的内容必须由</w:t>
      </w:r>
      <w:r>
        <w:rPr>
          <w:rFonts w:hint="eastAsia"/>
          <w:sz w:val="24"/>
        </w:rPr>
        <w:t>响应人</w:t>
      </w:r>
      <w:r>
        <w:rPr>
          <w:sz w:val="24"/>
        </w:rPr>
        <w:t>的法人代表或经授权的委托代理人签署姓名并逐页加盖</w:t>
      </w:r>
      <w:r>
        <w:rPr>
          <w:rFonts w:hint="eastAsia"/>
          <w:sz w:val="24"/>
        </w:rPr>
        <w:t>响应人</w:t>
      </w:r>
      <w:r>
        <w:rPr>
          <w:sz w:val="24"/>
        </w:rPr>
        <w:t>单位章。授权代表须有法人代表以书面形式出具的“授权书”（见附件）附在</w:t>
      </w:r>
      <w:r>
        <w:rPr>
          <w:rFonts w:hint="eastAsia"/>
          <w:sz w:val="24"/>
        </w:rPr>
        <w:t>响应文件</w:t>
      </w:r>
      <w:r>
        <w:rPr>
          <w:sz w:val="24"/>
        </w:rPr>
        <w:t>中。</w:t>
      </w:r>
    </w:p>
    <w:p>
      <w:pPr>
        <w:ind w:firstLine="480" w:firstLineChars="200"/>
        <w:jc w:val="left"/>
        <w:rPr>
          <w:sz w:val="24"/>
        </w:rPr>
      </w:pPr>
      <w:r>
        <w:rPr>
          <w:sz w:val="24"/>
        </w:rPr>
        <w:t>3.除</w:t>
      </w:r>
      <w:r>
        <w:rPr>
          <w:rFonts w:hint="eastAsia"/>
          <w:sz w:val="24"/>
        </w:rPr>
        <w:t>响应人</w:t>
      </w:r>
      <w:r>
        <w:rPr>
          <w:sz w:val="24"/>
        </w:rPr>
        <w:t>对错处做必要修改外，</w:t>
      </w:r>
      <w:r>
        <w:rPr>
          <w:rFonts w:hint="eastAsia"/>
          <w:sz w:val="24"/>
        </w:rPr>
        <w:t>响应文件</w:t>
      </w:r>
      <w:r>
        <w:rPr>
          <w:sz w:val="24"/>
        </w:rPr>
        <w:t>不得行间插字、涂改或增删，必要的修改处必须有报价单位法人代表或其授权代表人签字并盖公章。</w:t>
      </w:r>
    </w:p>
    <w:p>
      <w:pPr>
        <w:spacing w:before="156"/>
        <w:jc w:val="center"/>
        <w:rPr>
          <w:b/>
          <w:sz w:val="28"/>
          <w:szCs w:val="28"/>
        </w:rPr>
      </w:pPr>
      <w:r>
        <w:rPr>
          <w:b/>
          <w:sz w:val="28"/>
          <w:szCs w:val="28"/>
        </w:rPr>
        <w:t>四、</w:t>
      </w:r>
      <w:bookmarkStart w:id="11" w:name="_Toc241227270"/>
      <w:r>
        <w:rPr>
          <w:rFonts w:hint="eastAsia"/>
          <w:b/>
          <w:sz w:val="28"/>
          <w:szCs w:val="28"/>
        </w:rPr>
        <w:t>响应文件</w:t>
      </w:r>
      <w:r>
        <w:rPr>
          <w:b/>
          <w:sz w:val="28"/>
          <w:szCs w:val="28"/>
        </w:rPr>
        <w:t>的递交</w:t>
      </w:r>
    </w:p>
    <w:p>
      <w:pPr>
        <w:spacing w:before="156"/>
        <w:jc w:val="left"/>
        <w:rPr>
          <w:sz w:val="24"/>
        </w:rPr>
      </w:pPr>
      <w:r>
        <w:rPr>
          <w:b/>
          <w:sz w:val="24"/>
        </w:rPr>
        <w:t>（十三）</w:t>
      </w:r>
      <w:r>
        <w:rPr>
          <w:rFonts w:hint="eastAsia"/>
          <w:b/>
          <w:sz w:val="24"/>
        </w:rPr>
        <w:t>响应文件</w:t>
      </w:r>
      <w:r>
        <w:rPr>
          <w:b/>
          <w:sz w:val="24"/>
        </w:rPr>
        <w:t>的密封和标记</w:t>
      </w:r>
    </w:p>
    <w:p>
      <w:pPr>
        <w:ind w:firstLine="480" w:firstLineChars="200"/>
        <w:jc w:val="left"/>
        <w:rPr>
          <w:sz w:val="24"/>
        </w:rPr>
      </w:pPr>
      <w:r>
        <w:rPr>
          <w:sz w:val="24"/>
        </w:rPr>
        <w:t>1.</w:t>
      </w:r>
      <w:r>
        <w:rPr>
          <w:rFonts w:hint="eastAsia"/>
          <w:sz w:val="24"/>
        </w:rPr>
        <w:t>响应人</w:t>
      </w:r>
      <w:r>
        <w:rPr>
          <w:sz w:val="24"/>
        </w:rPr>
        <w:t>应将</w:t>
      </w:r>
      <w:r>
        <w:rPr>
          <w:rFonts w:hint="eastAsia"/>
          <w:sz w:val="24"/>
        </w:rPr>
        <w:t>响应文件</w:t>
      </w:r>
      <w:r>
        <w:rPr>
          <w:sz w:val="24"/>
        </w:rPr>
        <w:t>书面部分的正本、副本分别密封，并在每个密封袋上清楚地标明“正本”、“副本”；</w:t>
      </w:r>
    </w:p>
    <w:p>
      <w:pPr>
        <w:ind w:firstLine="480" w:firstLineChars="200"/>
        <w:jc w:val="left"/>
        <w:rPr>
          <w:sz w:val="24"/>
        </w:rPr>
      </w:pPr>
      <w:r>
        <w:rPr>
          <w:sz w:val="24"/>
        </w:rPr>
        <w:t>所有</w:t>
      </w:r>
      <w:r>
        <w:rPr>
          <w:rFonts w:hint="eastAsia"/>
          <w:sz w:val="24"/>
        </w:rPr>
        <w:t>响应文件</w:t>
      </w:r>
      <w:r>
        <w:rPr>
          <w:sz w:val="24"/>
        </w:rPr>
        <w:t>的密封袋的封口处均应加盖</w:t>
      </w:r>
      <w:r>
        <w:rPr>
          <w:rFonts w:hint="eastAsia"/>
          <w:sz w:val="24"/>
        </w:rPr>
        <w:t>响应人</w:t>
      </w:r>
      <w:r>
        <w:rPr>
          <w:sz w:val="24"/>
        </w:rPr>
        <w:t>印章或者由委托代理人签章。</w:t>
      </w:r>
    </w:p>
    <w:p>
      <w:pPr>
        <w:ind w:firstLine="480" w:firstLineChars="200"/>
        <w:jc w:val="left"/>
        <w:rPr>
          <w:sz w:val="24"/>
        </w:rPr>
      </w:pPr>
      <w:r>
        <w:rPr>
          <w:sz w:val="24"/>
        </w:rPr>
        <w:t>2.标记</w:t>
      </w:r>
    </w:p>
    <w:p>
      <w:pPr>
        <w:ind w:firstLine="480" w:firstLineChars="200"/>
        <w:jc w:val="left"/>
        <w:rPr>
          <w:sz w:val="24"/>
        </w:rPr>
      </w:pPr>
      <w:r>
        <w:rPr>
          <w:sz w:val="24"/>
        </w:rPr>
        <w:t>密封袋外层正面应注明</w:t>
      </w:r>
      <w:r>
        <w:rPr>
          <w:rFonts w:hint="eastAsia"/>
          <w:sz w:val="24"/>
        </w:rPr>
        <w:t>响应人</w:t>
      </w:r>
      <w:r>
        <w:rPr>
          <w:sz w:val="24"/>
        </w:rPr>
        <w:t>名称，因标注不清而产生后果的由</w:t>
      </w:r>
      <w:r>
        <w:rPr>
          <w:rFonts w:hint="eastAsia"/>
          <w:sz w:val="24"/>
        </w:rPr>
        <w:t>响应人</w:t>
      </w:r>
      <w:r>
        <w:rPr>
          <w:sz w:val="24"/>
        </w:rPr>
        <w:t>自负。</w:t>
      </w:r>
    </w:p>
    <w:p>
      <w:pPr>
        <w:spacing w:before="156"/>
        <w:jc w:val="left"/>
        <w:rPr>
          <w:b/>
          <w:sz w:val="24"/>
        </w:rPr>
      </w:pPr>
      <w:r>
        <w:rPr>
          <w:b/>
          <w:sz w:val="24"/>
        </w:rPr>
        <w:t>（十四）</w:t>
      </w:r>
      <w:r>
        <w:rPr>
          <w:rFonts w:hint="eastAsia"/>
          <w:b/>
          <w:sz w:val="24"/>
        </w:rPr>
        <w:t>响应文件</w:t>
      </w:r>
      <w:r>
        <w:rPr>
          <w:b/>
          <w:sz w:val="24"/>
        </w:rPr>
        <w:t>递交截止日期及方式</w:t>
      </w:r>
    </w:p>
    <w:p>
      <w:pPr>
        <w:ind w:firstLine="480" w:firstLineChars="200"/>
        <w:jc w:val="left"/>
        <w:rPr>
          <w:sz w:val="24"/>
        </w:rPr>
      </w:pPr>
      <w:r>
        <w:rPr>
          <w:sz w:val="24"/>
        </w:rPr>
        <w:t>1.所有</w:t>
      </w:r>
      <w:r>
        <w:rPr>
          <w:rFonts w:hint="eastAsia"/>
          <w:sz w:val="24"/>
        </w:rPr>
        <w:t>响应文件</w:t>
      </w:r>
      <w:r>
        <w:rPr>
          <w:sz w:val="24"/>
        </w:rPr>
        <w:t>都必须在</w:t>
      </w:r>
      <w:r>
        <w:rPr>
          <w:rFonts w:hint="eastAsia"/>
          <w:sz w:val="24"/>
        </w:rPr>
        <w:t>采购文件</w:t>
      </w:r>
      <w:r>
        <w:rPr>
          <w:sz w:val="24"/>
        </w:rPr>
        <w:t>规定的递交截止时间前送达开封地点。</w:t>
      </w:r>
    </w:p>
    <w:p>
      <w:pPr>
        <w:ind w:firstLine="480" w:firstLineChars="200"/>
        <w:jc w:val="left"/>
        <w:rPr>
          <w:sz w:val="24"/>
        </w:rPr>
      </w:pPr>
      <w:r>
        <w:rPr>
          <w:sz w:val="24"/>
        </w:rPr>
        <w:t>2.采购人可以通过修改</w:t>
      </w:r>
      <w:r>
        <w:rPr>
          <w:rFonts w:hint="eastAsia"/>
          <w:sz w:val="24"/>
        </w:rPr>
        <w:t>采购文件</w:t>
      </w:r>
      <w:r>
        <w:rPr>
          <w:sz w:val="24"/>
        </w:rPr>
        <w:t>酌情延长报价截止日期，在此情况下，</w:t>
      </w:r>
      <w:r>
        <w:rPr>
          <w:rFonts w:hint="eastAsia"/>
          <w:sz w:val="24"/>
        </w:rPr>
        <w:t>响应人</w:t>
      </w:r>
      <w:r>
        <w:rPr>
          <w:sz w:val="24"/>
        </w:rPr>
        <w:t>的所有权利和义务以及</w:t>
      </w:r>
      <w:r>
        <w:rPr>
          <w:rFonts w:hint="eastAsia"/>
          <w:sz w:val="24"/>
        </w:rPr>
        <w:t>响应人</w:t>
      </w:r>
      <w:r>
        <w:rPr>
          <w:sz w:val="24"/>
        </w:rPr>
        <w:t>受制约的截止日期均应以延长后新的截止日期为准。</w:t>
      </w:r>
    </w:p>
    <w:p>
      <w:pPr>
        <w:spacing w:before="156"/>
        <w:jc w:val="left"/>
        <w:rPr>
          <w:sz w:val="24"/>
        </w:rPr>
      </w:pPr>
      <w:r>
        <w:rPr>
          <w:b/>
          <w:sz w:val="24"/>
        </w:rPr>
        <w:t>（十五）迟交的</w:t>
      </w:r>
      <w:r>
        <w:rPr>
          <w:rFonts w:hint="eastAsia"/>
          <w:b/>
          <w:sz w:val="24"/>
        </w:rPr>
        <w:t>响应文件</w:t>
      </w:r>
    </w:p>
    <w:p>
      <w:pPr>
        <w:ind w:firstLine="480" w:firstLineChars="200"/>
        <w:jc w:val="left"/>
        <w:rPr>
          <w:sz w:val="24"/>
        </w:rPr>
      </w:pPr>
      <w:r>
        <w:rPr>
          <w:sz w:val="24"/>
        </w:rPr>
        <w:t>采购人将拒绝并原封退回在其规定的截止日期后收到的任何</w:t>
      </w:r>
      <w:r>
        <w:rPr>
          <w:rFonts w:hint="eastAsia"/>
          <w:sz w:val="24"/>
        </w:rPr>
        <w:t>响应文件</w:t>
      </w:r>
      <w:r>
        <w:rPr>
          <w:sz w:val="24"/>
        </w:rPr>
        <w:t>。</w:t>
      </w:r>
    </w:p>
    <w:p>
      <w:pPr>
        <w:spacing w:before="156"/>
        <w:jc w:val="center"/>
        <w:rPr>
          <w:b/>
          <w:sz w:val="28"/>
          <w:szCs w:val="28"/>
        </w:rPr>
      </w:pPr>
      <w:r>
        <w:rPr>
          <w:b/>
          <w:sz w:val="28"/>
          <w:szCs w:val="28"/>
        </w:rPr>
        <w:t>五、无效报价、废标条款</w:t>
      </w:r>
    </w:p>
    <w:p>
      <w:pPr>
        <w:spacing w:before="156"/>
        <w:jc w:val="left"/>
        <w:rPr>
          <w:b/>
          <w:sz w:val="24"/>
        </w:rPr>
      </w:pPr>
      <w:r>
        <w:rPr>
          <w:b/>
          <w:sz w:val="24"/>
        </w:rPr>
        <w:t>（十六）无效报价条款</w:t>
      </w:r>
    </w:p>
    <w:p>
      <w:pPr>
        <w:ind w:firstLine="480" w:firstLineChars="200"/>
        <w:jc w:val="left"/>
        <w:rPr>
          <w:sz w:val="24"/>
        </w:rPr>
      </w:pPr>
      <w:r>
        <w:rPr>
          <w:sz w:val="24"/>
        </w:rPr>
        <w:t>1.</w:t>
      </w:r>
      <w:r>
        <w:rPr>
          <w:rFonts w:hint="eastAsia"/>
          <w:sz w:val="24"/>
        </w:rPr>
        <w:t>响应人</w:t>
      </w:r>
      <w:r>
        <w:rPr>
          <w:sz w:val="24"/>
        </w:rPr>
        <w:t>资格不符合</w:t>
      </w:r>
      <w:r>
        <w:rPr>
          <w:rFonts w:hint="eastAsia"/>
          <w:sz w:val="24"/>
        </w:rPr>
        <w:t>采购文件</w:t>
      </w:r>
      <w:r>
        <w:rPr>
          <w:sz w:val="24"/>
        </w:rPr>
        <w:t>规定；</w:t>
      </w:r>
    </w:p>
    <w:p>
      <w:pPr>
        <w:ind w:firstLine="480" w:firstLineChars="200"/>
        <w:jc w:val="left"/>
        <w:rPr>
          <w:sz w:val="24"/>
        </w:rPr>
      </w:pPr>
      <w:r>
        <w:rPr>
          <w:sz w:val="24"/>
        </w:rPr>
        <w:t>2.</w:t>
      </w:r>
      <w:r>
        <w:rPr>
          <w:rFonts w:hint="eastAsia"/>
          <w:sz w:val="24"/>
        </w:rPr>
        <w:t>响应文件</w:t>
      </w:r>
      <w:r>
        <w:rPr>
          <w:sz w:val="24"/>
        </w:rPr>
        <w:t>出现重大偏差，未对</w:t>
      </w:r>
      <w:r>
        <w:rPr>
          <w:rFonts w:hint="eastAsia"/>
          <w:sz w:val="24"/>
        </w:rPr>
        <w:t>采购文件</w:t>
      </w:r>
      <w:r>
        <w:rPr>
          <w:sz w:val="24"/>
        </w:rPr>
        <w:t>进行实质性响应；</w:t>
      </w:r>
    </w:p>
    <w:p>
      <w:pPr>
        <w:ind w:firstLine="480" w:firstLineChars="200"/>
        <w:jc w:val="left"/>
        <w:rPr>
          <w:sz w:val="24"/>
        </w:rPr>
      </w:pPr>
      <w:r>
        <w:rPr>
          <w:sz w:val="24"/>
        </w:rPr>
        <w:t>3.法律、法规规定的其他情况；</w:t>
      </w:r>
    </w:p>
    <w:p>
      <w:pPr>
        <w:ind w:firstLine="480" w:firstLineChars="200"/>
        <w:jc w:val="left"/>
        <w:rPr>
          <w:sz w:val="24"/>
        </w:rPr>
      </w:pPr>
      <w:r>
        <w:rPr>
          <w:sz w:val="24"/>
        </w:rPr>
        <w:t>4.参与报价的</w:t>
      </w:r>
      <w:r>
        <w:rPr>
          <w:rFonts w:hint="eastAsia"/>
          <w:sz w:val="24"/>
        </w:rPr>
        <w:t>响应人</w:t>
      </w:r>
      <w:r>
        <w:rPr>
          <w:sz w:val="24"/>
        </w:rPr>
        <w:t>未按时到达开封会议现场的。</w:t>
      </w:r>
    </w:p>
    <w:p>
      <w:pPr>
        <w:snapToGrid w:val="0"/>
        <w:spacing w:before="156"/>
        <w:rPr>
          <w:b/>
          <w:sz w:val="24"/>
        </w:rPr>
      </w:pPr>
      <w:r>
        <w:rPr>
          <w:b/>
          <w:sz w:val="24"/>
        </w:rPr>
        <w:t>（十七）废标条款</w:t>
      </w:r>
    </w:p>
    <w:p>
      <w:pPr>
        <w:snapToGrid w:val="0"/>
        <w:ind w:firstLine="480" w:firstLineChars="200"/>
        <w:rPr>
          <w:sz w:val="24"/>
        </w:rPr>
      </w:pPr>
      <w:r>
        <w:rPr>
          <w:sz w:val="24"/>
        </w:rPr>
        <w:t>1.出现影响询比公正的违法、违规行为的；</w:t>
      </w:r>
    </w:p>
    <w:p>
      <w:pPr>
        <w:snapToGrid w:val="0"/>
        <w:ind w:firstLine="480" w:firstLineChars="200"/>
        <w:rPr>
          <w:sz w:val="24"/>
        </w:rPr>
      </w:pPr>
      <w:r>
        <w:rPr>
          <w:sz w:val="24"/>
        </w:rPr>
        <w:t>2.</w:t>
      </w:r>
      <w:r>
        <w:rPr>
          <w:rFonts w:hint="eastAsia"/>
          <w:sz w:val="24"/>
        </w:rPr>
        <w:t>响应人</w:t>
      </w:r>
      <w:r>
        <w:rPr>
          <w:sz w:val="24"/>
        </w:rPr>
        <w:t>的报价超过了询比限价；</w:t>
      </w:r>
    </w:p>
    <w:p>
      <w:pPr>
        <w:snapToGrid w:val="0"/>
        <w:ind w:firstLine="480" w:firstLineChars="200"/>
        <w:rPr>
          <w:sz w:val="24"/>
        </w:rPr>
      </w:pPr>
      <w:r>
        <w:rPr>
          <w:sz w:val="24"/>
        </w:rPr>
        <w:t>3.因重大变故，询比任务取消的；</w:t>
      </w:r>
    </w:p>
    <w:p>
      <w:pPr>
        <w:snapToGrid w:val="0"/>
        <w:ind w:firstLine="480" w:firstLineChars="200"/>
        <w:rPr>
          <w:sz w:val="24"/>
        </w:rPr>
      </w:pPr>
      <w:r>
        <w:rPr>
          <w:sz w:val="24"/>
        </w:rPr>
        <w:t>4.如出现报价截止时间结束后参加报价的</w:t>
      </w:r>
      <w:r>
        <w:rPr>
          <w:rFonts w:hint="eastAsia"/>
          <w:sz w:val="24"/>
        </w:rPr>
        <w:t>响应人</w:t>
      </w:r>
      <w:r>
        <w:rPr>
          <w:sz w:val="24"/>
        </w:rPr>
        <w:t>不足三家的，按照以下原则处理：重新询比。</w:t>
      </w:r>
    </w:p>
    <w:p>
      <w:pPr>
        <w:spacing w:before="156"/>
        <w:jc w:val="left"/>
        <w:rPr>
          <w:b/>
          <w:sz w:val="24"/>
        </w:rPr>
      </w:pPr>
      <w:r>
        <w:rPr>
          <w:b/>
          <w:sz w:val="24"/>
        </w:rPr>
        <w:t>（十八）取消成交候选人资格条款</w:t>
      </w:r>
    </w:p>
    <w:p>
      <w:pPr>
        <w:snapToGrid w:val="0"/>
        <w:ind w:firstLine="480" w:firstLineChars="200"/>
        <w:rPr>
          <w:sz w:val="24"/>
        </w:rPr>
      </w:pPr>
      <w:r>
        <w:rPr>
          <w:sz w:val="24"/>
        </w:rPr>
        <w:t>1.提供虚假材料谋取成交的；</w:t>
      </w:r>
    </w:p>
    <w:p>
      <w:pPr>
        <w:snapToGrid w:val="0"/>
        <w:ind w:firstLine="480" w:firstLineChars="200"/>
        <w:rPr>
          <w:sz w:val="24"/>
        </w:rPr>
      </w:pPr>
      <w:r>
        <w:rPr>
          <w:sz w:val="24"/>
        </w:rPr>
        <w:t>2.采取不正当手段诋毁、排挤其他</w:t>
      </w:r>
      <w:r>
        <w:rPr>
          <w:rFonts w:hint="eastAsia"/>
          <w:sz w:val="24"/>
        </w:rPr>
        <w:t>响应人</w:t>
      </w:r>
      <w:r>
        <w:rPr>
          <w:sz w:val="24"/>
        </w:rPr>
        <w:t>的；</w:t>
      </w:r>
    </w:p>
    <w:p>
      <w:pPr>
        <w:snapToGrid w:val="0"/>
        <w:ind w:firstLine="480" w:firstLineChars="200"/>
        <w:rPr>
          <w:sz w:val="24"/>
        </w:rPr>
      </w:pPr>
      <w:r>
        <w:rPr>
          <w:sz w:val="24"/>
        </w:rPr>
        <w:t>3.与采购人、其他</w:t>
      </w:r>
      <w:r>
        <w:rPr>
          <w:rFonts w:hint="eastAsia"/>
          <w:sz w:val="24"/>
        </w:rPr>
        <w:t>响应人</w:t>
      </w:r>
      <w:r>
        <w:rPr>
          <w:sz w:val="24"/>
        </w:rPr>
        <w:t>恶意串通的；</w:t>
      </w:r>
    </w:p>
    <w:p>
      <w:pPr>
        <w:snapToGrid w:val="0"/>
        <w:ind w:firstLine="480" w:firstLineChars="200"/>
        <w:rPr>
          <w:sz w:val="24"/>
        </w:rPr>
      </w:pPr>
      <w:r>
        <w:rPr>
          <w:sz w:val="24"/>
        </w:rPr>
        <w:t>4.向采购人行贿或者提供其他不正当利益的；</w:t>
      </w:r>
    </w:p>
    <w:p>
      <w:pPr>
        <w:snapToGrid w:val="0"/>
        <w:ind w:firstLine="480" w:firstLineChars="200"/>
        <w:rPr>
          <w:sz w:val="24"/>
        </w:rPr>
      </w:pPr>
      <w:r>
        <w:rPr>
          <w:sz w:val="24"/>
        </w:rPr>
        <w:t>5.法律、法规规定的其他情况。</w:t>
      </w:r>
    </w:p>
    <w:p>
      <w:pPr>
        <w:topLinePunct/>
        <w:ind w:right="31" w:rightChars="15"/>
        <w:jc w:val="center"/>
        <w:rPr>
          <w:sz w:val="36"/>
          <w:szCs w:val="36"/>
        </w:rPr>
      </w:pPr>
    </w:p>
    <w:p>
      <w:pPr>
        <w:topLinePunct/>
        <w:ind w:right="31" w:rightChars="15"/>
        <w:jc w:val="center"/>
        <w:rPr>
          <w:sz w:val="36"/>
          <w:szCs w:val="36"/>
        </w:rPr>
      </w:pPr>
    </w:p>
    <w:p>
      <w:pPr>
        <w:topLinePunct/>
        <w:ind w:right="31" w:rightChars="15"/>
        <w:jc w:val="center"/>
        <w:rPr>
          <w:sz w:val="36"/>
          <w:szCs w:val="36"/>
        </w:rPr>
      </w:pPr>
    </w:p>
    <w:p>
      <w:pPr>
        <w:topLinePunct/>
        <w:ind w:right="31" w:rightChars="15"/>
        <w:jc w:val="center"/>
        <w:rPr>
          <w:sz w:val="36"/>
          <w:szCs w:val="36"/>
        </w:rPr>
      </w:pPr>
    </w:p>
    <w:p>
      <w:pPr>
        <w:topLinePunct/>
        <w:ind w:right="31" w:rightChars="15"/>
        <w:jc w:val="center"/>
        <w:rPr>
          <w:sz w:val="36"/>
          <w:szCs w:val="36"/>
        </w:rPr>
      </w:pPr>
    </w:p>
    <w:p>
      <w:pPr>
        <w:topLinePunct/>
        <w:ind w:right="31" w:rightChars="15"/>
        <w:jc w:val="center"/>
        <w:rPr>
          <w:sz w:val="36"/>
          <w:szCs w:val="36"/>
        </w:rPr>
      </w:pPr>
    </w:p>
    <w:p>
      <w:pPr>
        <w:topLinePunct/>
        <w:ind w:right="31" w:rightChars="15"/>
        <w:jc w:val="center"/>
        <w:rPr>
          <w:sz w:val="36"/>
          <w:szCs w:val="36"/>
        </w:rPr>
      </w:pPr>
    </w:p>
    <w:p>
      <w:pPr>
        <w:topLinePunct/>
        <w:ind w:right="31" w:rightChars="15"/>
        <w:jc w:val="center"/>
        <w:rPr>
          <w:sz w:val="36"/>
          <w:szCs w:val="36"/>
        </w:rPr>
      </w:pPr>
    </w:p>
    <w:p>
      <w:pPr>
        <w:topLinePunct/>
        <w:ind w:right="31" w:rightChars="15"/>
        <w:jc w:val="center"/>
        <w:rPr>
          <w:sz w:val="36"/>
          <w:szCs w:val="36"/>
        </w:rPr>
      </w:pPr>
    </w:p>
    <w:p>
      <w:pPr>
        <w:topLinePunct/>
        <w:ind w:right="31" w:rightChars="15"/>
        <w:jc w:val="center"/>
        <w:rPr>
          <w:sz w:val="36"/>
          <w:szCs w:val="36"/>
        </w:rPr>
      </w:pPr>
    </w:p>
    <w:p>
      <w:pPr>
        <w:topLinePunct/>
        <w:ind w:right="31" w:rightChars="15"/>
        <w:jc w:val="center"/>
        <w:rPr>
          <w:sz w:val="36"/>
          <w:szCs w:val="36"/>
        </w:rPr>
      </w:pPr>
    </w:p>
    <w:p>
      <w:pPr>
        <w:topLinePunct/>
        <w:ind w:right="31" w:rightChars="15"/>
        <w:jc w:val="center"/>
        <w:rPr>
          <w:sz w:val="36"/>
          <w:szCs w:val="36"/>
        </w:rPr>
      </w:pPr>
    </w:p>
    <w:p>
      <w:pPr>
        <w:topLinePunct/>
        <w:ind w:right="31" w:rightChars="15"/>
        <w:jc w:val="center"/>
        <w:rPr>
          <w:sz w:val="36"/>
          <w:szCs w:val="36"/>
        </w:rPr>
      </w:pPr>
    </w:p>
    <w:p>
      <w:pPr>
        <w:topLinePunct/>
        <w:ind w:right="31" w:rightChars="15"/>
        <w:jc w:val="center"/>
        <w:rPr>
          <w:sz w:val="36"/>
          <w:szCs w:val="36"/>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spacing w:before="120"/>
        <w:jc w:val="center"/>
        <w:rPr>
          <w:sz w:val="24"/>
        </w:rPr>
      </w:pPr>
    </w:p>
    <w:p>
      <w:pPr>
        <w:topLinePunct/>
        <w:ind w:right="31" w:rightChars="15"/>
        <w:jc w:val="center"/>
        <w:rPr>
          <w:sz w:val="29"/>
          <w:szCs w:val="29"/>
        </w:rPr>
      </w:pPr>
    </w:p>
    <w:p>
      <w:pPr>
        <w:topLinePunct/>
        <w:ind w:right="31" w:rightChars="15"/>
        <w:jc w:val="center"/>
        <w:outlineLvl w:val="0"/>
        <w:rPr>
          <w:sz w:val="36"/>
          <w:szCs w:val="36"/>
        </w:rPr>
      </w:pPr>
      <w:r>
        <w:rPr>
          <w:sz w:val="36"/>
          <w:szCs w:val="36"/>
        </w:rPr>
        <w:t>第三章</w:t>
      </w:r>
      <w:r>
        <w:rPr>
          <w:rFonts w:hint="eastAsia"/>
          <w:sz w:val="36"/>
          <w:szCs w:val="36"/>
        </w:rPr>
        <w:t xml:space="preserve"> </w:t>
      </w:r>
      <w:bookmarkStart w:id="12" w:name="_Toc523927114"/>
      <w:r>
        <w:rPr>
          <w:rFonts w:hint="eastAsia"/>
          <w:sz w:val="36"/>
          <w:szCs w:val="36"/>
        </w:rPr>
        <w:t xml:space="preserve">  </w:t>
      </w:r>
      <w:r>
        <w:rPr>
          <w:sz w:val="36"/>
          <w:szCs w:val="36"/>
        </w:rPr>
        <w:t>评审办法</w:t>
      </w:r>
      <w:bookmarkEnd w:id="12"/>
    </w:p>
    <w:p>
      <w:pPr>
        <w:rPr>
          <w:sz w:val="36"/>
          <w:szCs w:val="36"/>
        </w:rPr>
        <w:sectPr>
          <w:footnotePr>
            <w:numFmt w:val="decimalEnclosedCircleChinese"/>
            <w:numRestart w:val="eachPage"/>
          </w:footnotePr>
          <w:pgSz w:w="11906" w:h="16838"/>
          <w:pgMar w:top="1418" w:right="1304" w:bottom="1418" w:left="1588" w:header="851" w:footer="851" w:gutter="0"/>
          <w:cols w:space="720" w:num="1"/>
          <w:docGrid w:linePitch="312" w:charSpace="0"/>
        </w:sectPr>
      </w:pPr>
    </w:p>
    <w:bookmarkEnd w:id="11"/>
    <w:p>
      <w:pPr>
        <w:jc w:val="center"/>
        <w:rPr>
          <w:b/>
          <w:sz w:val="32"/>
          <w:szCs w:val="32"/>
        </w:rPr>
      </w:pPr>
      <w:r>
        <w:rPr>
          <w:b/>
          <w:sz w:val="32"/>
          <w:szCs w:val="32"/>
        </w:rPr>
        <w:t>评审办法（综合评分法）</w:t>
      </w:r>
    </w:p>
    <w:p>
      <w:pPr>
        <w:rPr>
          <w:b/>
          <w:sz w:val="32"/>
          <w:szCs w:val="32"/>
        </w:rPr>
      </w:pPr>
      <w:r>
        <w:rPr>
          <w:rFonts w:hint="eastAsia"/>
          <w:b/>
          <w:sz w:val="32"/>
          <w:szCs w:val="32"/>
        </w:rPr>
        <w:t>初步</w:t>
      </w:r>
      <w:r>
        <w:rPr>
          <w:b/>
          <w:sz w:val="32"/>
          <w:szCs w:val="32"/>
        </w:rPr>
        <w:t>评审办法前附表</w:t>
      </w:r>
    </w:p>
    <w:tbl>
      <w:tblPr>
        <w:tblStyle w:val="61"/>
        <w:tblW w:w="14218" w:type="dxa"/>
        <w:tblInd w:w="0" w:type="dxa"/>
        <w:tblLayout w:type="fixed"/>
        <w:tblCellMar>
          <w:top w:w="0" w:type="dxa"/>
          <w:left w:w="108" w:type="dxa"/>
          <w:bottom w:w="0" w:type="dxa"/>
          <w:right w:w="108" w:type="dxa"/>
        </w:tblCellMar>
      </w:tblPr>
      <w:tblGrid>
        <w:gridCol w:w="1120"/>
        <w:gridCol w:w="1243"/>
        <w:gridCol w:w="11855"/>
      </w:tblGrid>
      <w:tr>
        <w:tblPrEx>
          <w:tblLayout w:type="fixed"/>
          <w:tblCellMar>
            <w:top w:w="0" w:type="dxa"/>
            <w:left w:w="108" w:type="dxa"/>
            <w:bottom w:w="0" w:type="dxa"/>
            <w:right w:w="108" w:type="dxa"/>
          </w:tblCellMar>
        </w:tblPrEx>
        <w:trPr>
          <w:trHeight w:val="454" w:hRule="atLeast"/>
          <w:tblHeader/>
        </w:trPr>
        <w:tc>
          <w:tcPr>
            <w:tcW w:w="2363" w:type="dxa"/>
            <w:gridSpan w:val="2"/>
            <w:tcBorders>
              <w:top w:val="single" w:color="auto" w:sz="4" w:space="0"/>
              <w:left w:val="single" w:color="auto" w:sz="4" w:space="0"/>
              <w:bottom w:val="single" w:color="auto" w:sz="4" w:space="0"/>
              <w:right w:val="single" w:color="auto" w:sz="4" w:space="0"/>
            </w:tcBorders>
            <w:vAlign w:val="center"/>
          </w:tcPr>
          <w:p>
            <w:pPr>
              <w:jc w:val="center"/>
              <w:rPr>
                <w:b/>
                <w:sz w:val="22"/>
                <w:szCs w:val="22"/>
              </w:rPr>
            </w:pPr>
            <w:r>
              <w:rPr>
                <w:b/>
                <w:sz w:val="22"/>
                <w:szCs w:val="22"/>
              </w:rPr>
              <w:t>条款号</w:t>
            </w:r>
          </w:p>
        </w:tc>
        <w:tc>
          <w:tcPr>
            <w:tcW w:w="11855" w:type="dxa"/>
            <w:tcBorders>
              <w:top w:val="single" w:color="auto" w:sz="4" w:space="0"/>
              <w:left w:val="single" w:color="auto" w:sz="4" w:space="0"/>
              <w:bottom w:val="single" w:color="auto" w:sz="4" w:space="0"/>
              <w:right w:val="single" w:color="auto" w:sz="4" w:space="0"/>
            </w:tcBorders>
            <w:vAlign w:val="center"/>
          </w:tcPr>
          <w:p>
            <w:pPr>
              <w:jc w:val="center"/>
              <w:rPr>
                <w:b/>
                <w:sz w:val="22"/>
                <w:szCs w:val="22"/>
              </w:rPr>
            </w:pPr>
            <w:r>
              <w:rPr>
                <w:b/>
                <w:sz w:val="22"/>
                <w:szCs w:val="22"/>
              </w:rPr>
              <w:t>评审因素与评审标准</w:t>
            </w:r>
          </w:p>
        </w:tc>
      </w:tr>
      <w:tr>
        <w:tblPrEx>
          <w:tblLayout w:type="fixed"/>
          <w:tblCellMar>
            <w:top w:w="0" w:type="dxa"/>
            <w:left w:w="108" w:type="dxa"/>
            <w:bottom w:w="0" w:type="dxa"/>
            <w:right w:w="108" w:type="dxa"/>
          </w:tblCellMar>
        </w:tblPrEx>
        <w:trPr>
          <w:trHeight w:val="293" w:hRule="atLeast"/>
        </w:trPr>
        <w:tc>
          <w:tcPr>
            <w:tcW w:w="1120" w:type="dxa"/>
            <w:tcBorders>
              <w:top w:val="single" w:color="auto" w:sz="4" w:space="0"/>
              <w:left w:val="single" w:color="auto" w:sz="4" w:space="0"/>
              <w:bottom w:val="single" w:color="auto" w:sz="4" w:space="0"/>
              <w:right w:val="single" w:color="auto" w:sz="4" w:space="0"/>
            </w:tcBorders>
            <w:vAlign w:val="center"/>
          </w:tcPr>
          <w:p>
            <w:pPr>
              <w:jc w:val="center"/>
              <w:rPr>
                <w:sz w:val="22"/>
                <w:szCs w:val="22"/>
              </w:rPr>
            </w:pPr>
            <w:r>
              <w:rPr>
                <w:sz w:val="22"/>
                <w:szCs w:val="22"/>
              </w:rPr>
              <w:t>2.1.1</w:t>
            </w:r>
          </w:p>
          <w:p>
            <w:pPr>
              <w:jc w:val="center"/>
              <w:rPr>
                <w:sz w:val="22"/>
                <w:szCs w:val="22"/>
              </w:rPr>
            </w:pPr>
            <w:r>
              <w:rPr>
                <w:sz w:val="22"/>
                <w:szCs w:val="22"/>
              </w:rPr>
              <w:t>2.1.3</w:t>
            </w:r>
          </w:p>
        </w:tc>
        <w:tc>
          <w:tcPr>
            <w:tcW w:w="1243" w:type="dxa"/>
            <w:tcBorders>
              <w:top w:val="single" w:color="auto" w:sz="4" w:space="0"/>
              <w:left w:val="single" w:color="auto" w:sz="4" w:space="0"/>
              <w:bottom w:val="single" w:color="auto" w:sz="4" w:space="0"/>
              <w:right w:val="single" w:color="auto" w:sz="4" w:space="0"/>
            </w:tcBorders>
            <w:vAlign w:val="center"/>
          </w:tcPr>
          <w:p>
            <w:pPr>
              <w:jc w:val="center"/>
              <w:rPr>
                <w:sz w:val="22"/>
                <w:szCs w:val="22"/>
              </w:rPr>
            </w:pPr>
            <w:r>
              <w:rPr>
                <w:sz w:val="22"/>
                <w:szCs w:val="22"/>
              </w:rPr>
              <w:t>形式评审与响应性评审标准</w:t>
            </w:r>
          </w:p>
        </w:tc>
        <w:tc>
          <w:tcPr>
            <w:tcW w:w="1185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rPr>
                <w:sz w:val="22"/>
                <w:szCs w:val="22"/>
              </w:rPr>
            </w:pPr>
            <w:r>
              <w:rPr>
                <w:sz w:val="22"/>
                <w:szCs w:val="22"/>
                <w:lang w:val="zh-CN"/>
              </w:rPr>
              <w:t>（</w:t>
            </w:r>
            <w:r>
              <w:rPr>
                <w:sz w:val="22"/>
                <w:szCs w:val="22"/>
              </w:rPr>
              <w:t>1</w:t>
            </w:r>
            <w:r>
              <w:rPr>
                <w:sz w:val="22"/>
                <w:szCs w:val="22"/>
                <w:lang w:val="zh-CN"/>
              </w:rPr>
              <w:t>）</w:t>
            </w:r>
            <w:r>
              <w:rPr>
                <w:rFonts w:hint="eastAsia"/>
                <w:sz w:val="22"/>
                <w:szCs w:val="22"/>
                <w:lang w:val="zh-CN"/>
              </w:rPr>
              <w:t>响应文件</w:t>
            </w:r>
            <w:r>
              <w:rPr>
                <w:sz w:val="22"/>
                <w:szCs w:val="22"/>
                <w:lang w:val="zh-CN"/>
              </w:rPr>
              <w:t>按照</w:t>
            </w:r>
            <w:r>
              <w:rPr>
                <w:rFonts w:hint="eastAsia"/>
                <w:sz w:val="22"/>
                <w:szCs w:val="22"/>
                <w:lang w:val="zh-CN"/>
              </w:rPr>
              <w:t>采购文件</w:t>
            </w:r>
            <w:r>
              <w:rPr>
                <w:sz w:val="22"/>
                <w:szCs w:val="22"/>
                <w:lang w:val="zh-CN"/>
              </w:rPr>
              <w:t>规定的格式、内容填写，字迹清晰可辨：</w:t>
            </w:r>
          </w:p>
          <w:p>
            <w:pPr>
              <w:autoSpaceDE w:val="0"/>
              <w:autoSpaceDN w:val="0"/>
              <w:adjustRightInd w:val="0"/>
              <w:spacing w:line="360" w:lineRule="exact"/>
              <w:rPr>
                <w:sz w:val="22"/>
                <w:szCs w:val="22"/>
                <w:lang w:val="zh-CN"/>
              </w:rPr>
            </w:pPr>
            <w:r>
              <w:rPr>
                <w:sz w:val="22"/>
                <w:szCs w:val="22"/>
              </w:rPr>
              <w:t>a</w:t>
            </w:r>
            <w:r>
              <w:rPr>
                <w:sz w:val="22"/>
                <w:szCs w:val="22"/>
                <w:lang w:val="zh-CN"/>
              </w:rPr>
              <w:t>．报价函按</w:t>
            </w:r>
            <w:r>
              <w:rPr>
                <w:rFonts w:hint="eastAsia"/>
                <w:sz w:val="22"/>
                <w:szCs w:val="22"/>
                <w:lang w:val="zh-CN"/>
              </w:rPr>
              <w:t>采购文件</w:t>
            </w:r>
            <w:r>
              <w:rPr>
                <w:sz w:val="22"/>
                <w:szCs w:val="22"/>
                <w:lang w:val="zh-CN"/>
              </w:rPr>
              <w:t>规定内容填写；</w:t>
            </w:r>
          </w:p>
          <w:p>
            <w:pPr>
              <w:autoSpaceDE w:val="0"/>
              <w:autoSpaceDN w:val="0"/>
              <w:adjustRightInd w:val="0"/>
              <w:spacing w:line="360" w:lineRule="exact"/>
              <w:rPr>
                <w:sz w:val="22"/>
                <w:szCs w:val="22"/>
                <w:lang w:val="zh-CN"/>
              </w:rPr>
            </w:pPr>
            <w:r>
              <w:rPr>
                <w:sz w:val="22"/>
                <w:szCs w:val="22"/>
              </w:rPr>
              <w:t xml:space="preserve">b. </w:t>
            </w:r>
            <w:r>
              <w:rPr>
                <w:sz w:val="22"/>
                <w:szCs w:val="22"/>
                <w:lang w:val="zh-CN"/>
              </w:rPr>
              <w:t>已标价的报价清单与</w:t>
            </w:r>
            <w:r>
              <w:rPr>
                <w:rFonts w:hint="eastAsia"/>
                <w:sz w:val="22"/>
                <w:szCs w:val="22"/>
                <w:lang w:val="zh-CN"/>
              </w:rPr>
              <w:t>采购文件</w:t>
            </w:r>
            <w:r>
              <w:rPr>
                <w:sz w:val="22"/>
                <w:szCs w:val="22"/>
                <w:lang w:val="zh-CN"/>
              </w:rPr>
              <w:t>规定一致，未进行修改和删减；</w:t>
            </w:r>
          </w:p>
          <w:p>
            <w:pPr>
              <w:autoSpaceDE w:val="0"/>
              <w:autoSpaceDN w:val="0"/>
              <w:adjustRightInd w:val="0"/>
              <w:spacing w:line="360" w:lineRule="exact"/>
              <w:rPr>
                <w:sz w:val="22"/>
                <w:szCs w:val="22"/>
                <w:lang w:val="zh-CN"/>
              </w:rPr>
            </w:pPr>
            <w:r>
              <w:rPr>
                <w:sz w:val="22"/>
                <w:szCs w:val="22"/>
              </w:rPr>
              <w:t>c.</w:t>
            </w:r>
            <w:r>
              <w:rPr>
                <w:rFonts w:hint="eastAsia"/>
                <w:sz w:val="22"/>
                <w:szCs w:val="22"/>
                <w:lang w:val="zh-CN"/>
              </w:rPr>
              <w:t>响应文件</w:t>
            </w:r>
            <w:r>
              <w:rPr>
                <w:sz w:val="22"/>
                <w:szCs w:val="22"/>
                <w:lang w:val="zh-CN"/>
              </w:rPr>
              <w:t>组成齐全完整，内容均按规定填写；</w:t>
            </w:r>
          </w:p>
          <w:p>
            <w:pPr>
              <w:autoSpaceDE w:val="0"/>
              <w:autoSpaceDN w:val="0"/>
              <w:adjustRightInd w:val="0"/>
              <w:spacing w:line="360" w:lineRule="exact"/>
              <w:rPr>
                <w:sz w:val="22"/>
                <w:szCs w:val="22"/>
                <w:lang w:val="zh-CN"/>
              </w:rPr>
            </w:pPr>
            <w:r>
              <w:rPr>
                <w:sz w:val="22"/>
                <w:szCs w:val="22"/>
                <w:lang w:val="zh-CN"/>
              </w:rPr>
              <w:t>d.</w:t>
            </w:r>
            <w:r>
              <w:rPr>
                <w:sz w:val="22"/>
                <w:szCs w:val="22"/>
              </w:rPr>
              <w:t>报价未超出采购人公布的控制价上限；</w:t>
            </w:r>
          </w:p>
          <w:p>
            <w:pPr>
              <w:autoSpaceDE w:val="0"/>
              <w:autoSpaceDN w:val="0"/>
              <w:adjustRightInd w:val="0"/>
              <w:spacing w:line="360" w:lineRule="exact"/>
              <w:rPr>
                <w:sz w:val="22"/>
                <w:szCs w:val="22"/>
              </w:rPr>
            </w:pPr>
            <w:r>
              <w:rPr>
                <w:sz w:val="22"/>
                <w:szCs w:val="22"/>
              </w:rPr>
              <w:t>e.报价函大写金额报价与报价清单中的汇总价格一致(由四舍五入引起的除外)；</w:t>
            </w:r>
          </w:p>
          <w:p>
            <w:pPr>
              <w:autoSpaceDE w:val="0"/>
              <w:autoSpaceDN w:val="0"/>
              <w:adjustRightInd w:val="0"/>
              <w:spacing w:line="360" w:lineRule="exact"/>
              <w:rPr>
                <w:sz w:val="22"/>
                <w:szCs w:val="22"/>
              </w:rPr>
            </w:pPr>
            <w:r>
              <w:rPr>
                <w:sz w:val="22"/>
                <w:szCs w:val="22"/>
              </w:rPr>
              <w:t>f.</w:t>
            </w:r>
            <w:r>
              <w:rPr>
                <w:sz w:val="22"/>
                <w:szCs w:val="22"/>
                <w:lang w:val="zh-CN"/>
              </w:rPr>
              <w:t>一份</w:t>
            </w:r>
            <w:r>
              <w:rPr>
                <w:rFonts w:hint="eastAsia"/>
                <w:sz w:val="22"/>
                <w:szCs w:val="22"/>
                <w:lang w:val="zh-CN"/>
              </w:rPr>
              <w:t>响应文件</w:t>
            </w:r>
            <w:r>
              <w:rPr>
                <w:sz w:val="22"/>
                <w:szCs w:val="22"/>
                <w:lang w:val="zh-CN"/>
              </w:rPr>
              <w:t>应只有一个报价，没有提交选择性报价；</w:t>
            </w:r>
          </w:p>
          <w:p>
            <w:pPr>
              <w:autoSpaceDE w:val="0"/>
              <w:autoSpaceDN w:val="0"/>
              <w:adjustRightInd w:val="0"/>
              <w:spacing w:line="360" w:lineRule="exact"/>
              <w:rPr>
                <w:sz w:val="22"/>
                <w:szCs w:val="22"/>
              </w:rPr>
            </w:pPr>
            <w:r>
              <w:rPr>
                <w:sz w:val="22"/>
                <w:szCs w:val="22"/>
              </w:rPr>
              <w:t>g</w:t>
            </w:r>
            <w:r>
              <w:rPr>
                <w:sz w:val="22"/>
                <w:szCs w:val="22"/>
                <w:lang w:val="zh-CN"/>
              </w:rPr>
              <w:t>.</w:t>
            </w:r>
            <w:r>
              <w:rPr>
                <w:rFonts w:hint="eastAsia"/>
                <w:sz w:val="22"/>
                <w:szCs w:val="22"/>
                <w:lang w:val="zh-CN"/>
              </w:rPr>
              <w:t>响应文件</w:t>
            </w:r>
            <w:r>
              <w:rPr>
                <w:sz w:val="22"/>
                <w:szCs w:val="22"/>
                <w:lang w:val="zh-CN"/>
              </w:rPr>
              <w:t>组成齐全完整，内容均按规定填写。</w:t>
            </w:r>
          </w:p>
          <w:p>
            <w:pPr>
              <w:autoSpaceDE w:val="0"/>
              <w:autoSpaceDN w:val="0"/>
              <w:adjustRightInd w:val="0"/>
              <w:spacing w:line="360" w:lineRule="exact"/>
              <w:rPr>
                <w:sz w:val="22"/>
                <w:szCs w:val="22"/>
              </w:rPr>
            </w:pPr>
            <w:r>
              <w:rPr>
                <w:sz w:val="22"/>
                <w:szCs w:val="22"/>
                <w:lang w:val="zh-CN"/>
              </w:rPr>
              <w:t>（</w:t>
            </w:r>
            <w:r>
              <w:rPr>
                <w:sz w:val="22"/>
                <w:szCs w:val="22"/>
              </w:rPr>
              <w:t>2</w:t>
            </w:r>
            <w:r>
              <w:rPr>
                <w:sz w:val="22"/>
                <w:szCs w:val="22"/>
                <w:lang w:val="zh-CN"/>
              </w:rPr>
              <w:t>）</w:t>
            </w:r>
            <w:r>
              <w:rPr>
                <w:rFonts w:hint="eastAsia"/>
                <w:sz w:val="22"/>
                <w:szCs w:val="22"/>
                <w:lang w:val="zh-CN"/>
              </w:rPr>
              <w:t>响应文件</w:t>
            </w:r>
            <w:r>
              <w:rPr>
                <w:sz w:val="22"/>
                <w:szCs w:val="22"/>
                <w:lang w:val="zh-CN"/>
              </w:rPr>
              <w:t>上法定代表人或其授权代理人的签字、</w:t>
            </w:r>
            <w:r>
              <w:rPr>
                <w:rFonts w:hint="eastAsia"/>
                <w:sz w:val="22"/>
                <w:szCs w:val="22"/>
                <w:lang w:val="zh-CN"/>
              </w:rPr>
              <w:t>响应人</w:t>
            </w:r>
            <w:r>
              <w:rPr>
                <w:sz w:val="22"/>
                <w:szCs w:val="22"/>
                <w:lang w:val="zh-CN"/>
              </w:rPr>
              <w:t>的单位章盖章齐全，符合</w:t>
            </w:r>
            <w:r>
              <w:rPr>
                <w:rFonts w:hint="eastAsia"/>
                <w:sz w:val="22"/>
                <w:szCs w:val="22"/>
                <w:lang w:val="zh-CN"/>
              </w:rPr>
              <w:t>采购文件</w:t>
            </w:r>
            <w:r>
              <w:rPr>
                <w:sz w:val="22"/>
                <w:szCs w:val="22"/>
                <w:lang w:val="zh-CN"/>
              </w:rPr>
              <w:t>规定。</w:t>
            </w:r>
          </w:p>
          <w:p>
            <w:pPr>
              <w:autoSpaceDE w:val="0"/>
              <w:autoSpaceDN w:val="0"/>
              <w:adjustRightInd w:val="0"/>
              <w:spacing w:line="360" w:lineRule="exact"/>
              <w:rPr>
                <w:sz w:val="22"/>
                <w:szCs w:val="22"/>
              </w:rPr>
            </w:pPr>
            <w:r>
              <w:rPr>
                <w:sz w:val="22"/>
                <w:szCs w:val="22"/>
                <w:lang w:val="zh-CN"/>
              </w:rPr>
              <w:t>（</w:t>
            </w:r>
            <w:r>
              <w:rPr>
                <w:sz w:val="22"/>
                <w:szCs w:val="22"/>
              </w:rPr>
              <w:t>3</w:t>
            </w:r>
            <w:r>
              <w:rPr>
                <w:sz w:val="22"/>
                <w:szCs w:val="22"/>
                <w:lang w:val="zh-CN"/>
              </w:rPr>
              <w:t>）</w:t>
            </w:r>
            <w:r>
              <w:rPr>
                <w:rFonts w:hint="eastAsia"/>
                <w:sz w:val="22"/>
                <w:szCs w:val="22"/>
                <w:lang w:val="zh-CN"/>
              </w:rPr>
              <w:t>响应人</w:t>
            </w:r>
            <w:r>
              <w:rPr>
                <w:sz w:val="22"/>
                <w:szCs w:val="22"/>
                <w:lang w:val="zh-CN"/>
              </w:rPr>
              <w:t>法定代表人的授权代理人，需提交附有法定代表人身份证明的授权委托书，并符合</w:t>
            </w:r>
            <w:r>
              <w:rPr>
                <w:rFonts w:hint="eastAsia"/>
                <w:sz w:val="22"/>
                <w:szCs w:val="22"/>
                <w:lang w:val="zh-CN"/>
              </w:rPr>
              <w:t>采购文件</w:t>
            </w:r>
            <w:r>
              <w:rPr>
                <w:sz w:val="22"/>
                <w:szCs w:val="22"/>
                <w:lang w:val="zh-CN"/>
              </w:rPr>
              <w:t>规定；</w:t>
            </w:r>
            <w:r>
              <w:rPr>
                <w:rFonts w:hint="eastAsia"/>
                <w:sz w:val="22"/>
                <w:szCs w:val="22"/>
                <w:lang w:val="zh-CN"/>
              </w:rPr>
              <w:t>响应人</w:t>
            </w:r>
            <w:r>
              <w:rPr>
                <w:sz w:val="22"/>
                <w:szCs w:val="22"/>
                <w:lang w:val="zh-CN"/>
              </w:rPr>
              <w:t>法定代表人若亲自签署</w:t>
            </w:r>
            <w:r>
              <w:rPr>
                <w:rFonts w:hint="eastAsia"/>
                <w:sz w:val="22"/>
                <w:szCs w:val="22"/>
                <w:lang w:val="zh-CN"/>
              </w:rPr>
              <w:t>响应文件</w:t>
            </w:r>
            <w:r>
              <w:rPr>
                <w:sz w:val="22"/>
                <w:szCs w:val="22"/>
                <w:lang w:val="zh-CN"/>
              </w:rPr>
              <w:t>的，提供了法定代表人身份证明，并符合符合</w:t>
            </w:r>
            <w:r>
              <w:rPr>
                <w:rFonts w:hint="eastAsia"/>
                <w:sz w:val="22"/>
                <w:szCs w:val="22"/>
                <w:lang w:val="zh-CN"/>
              </w:rPr>
              <w:t>采购文件</w:t>
            </w:r>
            <w:r>
              <w:rPr>
                <w:sz w:val="22"/>
                <w:szCs w:val="22"/>
                <w:lang w:val="zh-CN"/>
              </w:rPr>
              <w:t>规定。</w:t>
            </w:r>
          </w:p>
          <w:p>
            <w:pPr>
              <w:autoSpaceDE w:val="0"/>
              <w:autoSpaceDN w:val="0"/>
              <w:adjustRightInd w:val="0"/>
              <w:spacing w:line="360" w:lineRule="exact"/>
              <w:rPr>
                <w:sz w:val="22"/>
                <w:szCs w:val="22"/>
              </w:rPr>
            </w:pPr>
            <w:r>
              <w:rPr>
                <w:sz w:val="22"/>
                <w:szCs w:val="22"/>
                <w:lang w:val="zh-CN"/>
              </w:rPr>
              <w:t>（</w:t>
            </w:r>
            <w:r>
              <w:rPr>
                <w:rFonts w:hint="eastAsia"/>
                <w:sz w:val="22"/>
                <w:szCs w:val="22"/>
                <w:lang w:val="en-US" w:eastAsia="zh-CN"/>
              </w:rPr>
              <w:t>4</w:t>
            </w:r>
            <w:r>
              <w:rPr>
                <w:sz w:val="22"/>
                <w:szCs w:val="22"/>
                <w:lang w:val="zh-CN"/>
              </w:rPr>
              <w:t>）</w:t>
            </w:r>
            <w:r>
              <w:rPr>
                <w:rFonts w:hint="eastAsia"/>
                <w:sz w:val="22"/>
                <w:szCs w:val="22"/>
                <w:lang w:val="zh-CN"/>
              </w:rPr>
              <w:t>响应文件</w:t>
            </w:r>
            <w:r>
              <w:rPr>
                <w:sz w:val="22"/>
                <w:szCs w:val="22"/>
                <w:lang w:val="zh-CN"/>
              </w:rPr>
              <w:t>载明的询比项目完成期限未超过</w:t>
            </w:r>
            <w:r>
              <w:rPr>
                <w:rFonts w:hint="eastAsia"/>
                <w:sz w:val="22"/>
                <w:szCs w:val="22"/>
                <w:lang w:val="zh-CN"/>
              </w:rPr>
              <w:t>采购文件</w:t>
            </w:r>
            <w:r>
              <w:rPr>
                <w:sz w:val="22"/>
                <w:szCs w:val="22"/>
                <w:lang w:val="zh-CN"/>
              </w:rPr>
              <w:t>规定的时限。</w:t>
            </w:r>
          </w:p>
          <w:p>
            <w:pPr>
              <w:autoSpaceDE w:val="0"/>
              <w:autoSpaceDN w:val="0"/>
              <w:adjustRightInd w:val="0"/>
              <w:spacing w:line="360" w:lineRule="exact"/>
              <w:rPr>
                <w:sz w:val="22"/>
                <w:szCs w:val="22"/>
              </w:rPr>
            </w:pPr>
            <w:r>
              <w:rPr>
                <w:sz w:val="22"/>
                <w:szCs w:val="22"/>
                <w:lang w:val="zh-CN"/>
              </w:rPr>
              <w:t>（</w:t>
            </w:r>
            <w:r>
              <w:rPr>
                <w:rFonts w:hint="eastAsia"/>
                <w:sz w:val="22"/>
                <w:szCs w:val="22"/>
                <w:lang w:val="en-US" w:eastAsia="zh-CN"/>
              </w:rPr>
              <w:t>5</w:t>
            </w:r>
            <w:r>
              <w:rPr>
                <w:sz w:val="22"/>
                <w:szCs w:val="22"/>
                <w:lang w:val="zh-CN"/>
              </w:rPr>
              <w:t>）</w:t>
            </w:r>
            <w:r>
              <w:rPr>
                <w:rFonts w:hint="eastAsia"/>
                <w:sz w:val="22"/>
                <w:szCs w:val="22"/>
                <w:lang w:val="zh-CN"/>
              </w:rPr>
              <w:t>响应文件</w:t>
            </w:r>
            <w:r>
              <w:rPr>
                <w:sz w:val="22"/>
                <w:szCs w:val="22"/>
                <w:lang w:val="zh-CN"/>
              </w:rPr>
              <w:t>未附有采购人不能接受的条件。</w:t>
            </w:r>
          </w:p>
          <w:p>
            <w:pPr>
              <w:autoSpaceDE w:val="0"/>
              <w:autoSpaceDN w:val="0"/>
              <w:adjustRightInd w:val="0"/>
              <w:spacing w:line="360" w:lineRule="exact"/>
              <w:rPr>
                <w:sz w:val="22"/>
                <w:szCs w:val="22"/>
              </w:rPr>
            </w:pPr>
            <w:r>
              <w:rPr>
                <w:sz w:val="22"/>
                <w:szCs w:val="22"/>
                <w:lang w:val="zh-CN"/>
              </w:rPr>
              <w:t>（</w:t>
            </w:r>
            <w:r>
              <w:rPr>
                <w:rFonts w:hint="eastAsia"/>
                <w:sz w:val="22"/>
                <w:szCs w:val="22"/>
                <w:lang w:val="en-US" w:eastAsia="zh-CN"/>
              </w:rPr>
              <w:t>6</w:t>
            </w:r>
            <w:r>
              <w:rPr>
                <w:sz w:val="22"/>
                <w:szCs w:val="22"/>
                <w:lang w:val="zh-CN"/>
              </w:rPr>
              <w:t>）权利义务符合</w:t>
            </w:r>
            <w:r>
              <w:rPr>
                <w:rFonts w:hint="eastAsia"/>
                <w:sz w:val="22"/>
                <w:szCs w:val="22"/>
                <w:lang w:val="zh-CN"/>
              </w:rPr>
              <w:t>采购文件</w:t>
            </w:r>
            <w:r>
              <w:rPr>
                <w:sz w:val="22"/>
                <w:szCs w:val="22"/>
                <w:lang w:val="zh-CN"/>
              </w:rPr>
              <w:t>规定：</w:t>
            </w:r>
          </w:p>
          <w:p>
            <w:pPr>
              <w:autoSpaceDE w:val="0"/>
              <w:autoSpaceDN w:val="0"/>
              <w:adjustRightInd w:val="0"/>
              <w:spacing w:line="360" w:lineRule="exact"/>
              <w:rPr>
                <w:sz w:val="22"/>
                <w:szCs w:val="22"/>
              </w:rPr>
            </w:pPr>
            <w:r>
              <w:rPr>
                <w:sz w:val="22"/>
                <w:szCs w:val="22"/>
              </w:rPr>
              <w:t>a</w:t>
            </w:r>
            <w:r>
              <w:rPr>
                <w:sz w:val="22"/>
                <w:szCs w:val="22"/>
                <w:lang w:val="zh-CN"/>
              </w:rPr>
              <w:t>．</w:t>
            </w:r>
            <w:r>
              <w:rPr>
                <w:rFonts w:hint="eastAsia"/>
                <w:sz w:val="22"/>
                <w:szCs w:val="22"/>
                <w:lang w:val="zh-CN"/>
              </w:rPr>
              <w:t>响应人</w:t>
            </w:r>
            <w:r>
              <w:rPr>
                <w:sz w:val="22"/>
                <w:szCs w:val="22"/>
                <w:lang w:val="zh-CN"/>
              </w:rPr>
              <w:t>应接受</w:t>
            </w:r>
            <w:r>
              <w:rPr>
                <w:rFonts w:hint="eastAsia"/>
                <w:sz w:val="22"/>
                <w:szCs w:val="22"/>
                <w:lang w:val="zh-CN"/>
              </w:rPr>
              <w:t>采购文件</w:t>
            </w:r>
            <w:r>
              <w:rPr>
                <w:sz w:val="22"/>
                <w:szCs w:val="22"/>
                <w:lang w:val="zh-CN"/>
              </w:rPr>
              <w:t>规定的风险划分原则，未提出新的风险划分办法；</w:t>
            </w:r>
          </w:p>
          <w:p>
            <w:pPr>
              <w:autoSpaceDE w:val="0"/>
              <w:autoSpaceDN w:val="0"/>
              <w:adjustRightInd w:val="0"/>
              <w:spacing w:line="360" w:lineRule="exact"/>
              <w:rPr>
                <w:sz w:val="22"/>
                <w:szCs w:val="22"/>
              </w:rPr>
            </w:pPr>
            <w:r>
              <w:rPr>
                <w:sz w:val="22"/>
                <w:szCs w:val="22"/>
              </w:rPr>
              <w:t>b</w:t>
            </w:r>
            <w:r>
              <w:rPr>
                <w:sz w:val="22"/>
                <w:szCs w:val="22"/>
                <w:lang w:val="zh-CN"/>
              </w:rPr>
              <w:t>．</w:t>
            </w:r>
            <w:r>
              <w:rPr>
                <w:rFonts w:hint="eastAsia"/>
                <w:sz w:val="22"/>
                <w:szCs w:val="22"/>
                <w:lang w:val="zh-CN"/>
              </w:rPr>
              <w:t>响应人</w:t>
            </w:r>
            <w:r>
              <w:rPr>
                <w:sz w:val="22"/>
                <w:szCs w:val="22"/>
                <w:lang w:val="zh-CN"/>
              </w:rPr>
              <w:t>未增加发包人的责任范围，或减少</w:t>
            </w:r>
            <w:r>
              <w:rPr>
                <w:rFonts w:hint="eastAsia"/>
                <w:sz w:val="22"/>
                <w:szCs w:val="22"/>
                <w:lang w:val="zh-CN"/>
              </w:rPr>
              <w:t>响应人</w:t>
            </w:r>
            <w:r>
              <w:rPr>
                <w:sz w:val="22"/>
                <w:szCs w:val="22"/>
                <w:lang w:val="zh-CN"/>
              </w:rPr>
              <w:t>义务；</w:t>
            </w:r>
          </w:p>
          <w:p>
            <w:pPr>
              <w:autoSpaceDE w:val="0"/>
              <w:autoSpaceDN w:val="0"/>
              <w:adjustRightInd w:val="0"/>
              <w:spacing w:line="360" w:lineRule="exact"/>
              <w:rPr>
                <w:sz w:val="22"/>
                <w:szCs w:val="22"/>
              </w:rPr>
            </w:pPr>
            <w:r>
              <w:rPr>
                <w:sz w:val="22"/>
                <w:szCs w:val="22"/>
              </w:rPr>
              <w:t>c</w:t>
            </w:r>
            <w:r>
              <w:rPr>
                <w:sz w:val="22"/>
                <w:szCs w:val="22"/>
                <w:lang w:val="zh-CN"/>
              </w:rPr>
              <w:t>．</w:t>
            </w:r>
            <w:r>
              <w:rPr>
                <w:rFonts w:hint="eastAsia"/>
                <w:sz w:val="22"/>
                <w:szCs w:val="22"/>
                <w:lang w:val="zh-CN"/>
              </w:rPr>
              <w:t>响应人</w:t>
            </w:r>
            <w:r>
              <w:rPr>
                <w:sz w:val="22"/>
                <w:szCs w:val="22"/>
                <w:lang w:val="zh-CN"/>
              </w:rPr>
              <w:t>未提出不同的验收、计量、支付办法；</w:t>
            </w:r>
          </w:p>
          <w:p>
            <w:pPr>
              <w:autoSpaceDE w:val="0"/>
              <w:autoSpaceDN w:val="0"/>
              <w:adjustRightInd w:val="0"/>
              <w:spacing w:line="360" w:lineRule="exact"/>
              <w:rPr>
                <w:sz w:val="22"/>
                <w:szCs w:val="22"/>
              </w:rPr>
            </w:pPr>
            <w:r>
              <w:rPr>
                <w:sz w:val="22"/>
                <w:szCs w:val="22"/>
              </w:rPr>
              <w:t>d</w:t>
            </w:r>
            <w:r>
              <w:rPr>
                <w:sz w:val="22"/>
                <w:szCs w:val="22"/>
                <w:lang w:val="zh-CN"/>
              </w:rPr>
              <w:t>．</w:t>
            </w:r>
            <w:r>
              <w:rPr>
                <w:rFonts w:hint="eastAsia"/>
                <w:sz w:val="22"/>
                <w:szCs w:val="22"/>
                <w:lang w:val="zh-CN"/>
              </w:rPr>
              <w:t>响应人</w:t>
            </w:r>
            <w:r>
              <w:rPr>
                <w:sz w:val="22"/>
                <w:szCs w:val="22"/>
                <w:lang w:val="zh-CN"/>
              </w:rPr>
              <w:t>对合同纠纷、事故处理办法未提出异议；</w:t>
            </w:r>
          </w:p>
          <w:p>
            <w:pPr>
              <w:autoSpaceDE w:val="0"/>
              <w:autoSpaceDN w:val="0"/>
              <w:adjustRightInd w:val="0"/>
              <w:spacing w:line="360" w:lineRule="exact"/>
              <w:rPr>
                <w:sz w:val="22"/>
                <w:szCs w:val="22"/>
              </w:rPr>
            </w:pPr>
            <w:r>
              <w:rPr>
                <w:sz w:val="22"/>
                <w:szCs w:val="22"/>
              </w:rPr>
              <w:t>e</w:t>
            </w:r>
            <w:r>
              <w:rPr>
                <w:sz w:val="22"/>
                <w:szCs w:val="22"/>
                <w:lang w:val="zh-CN"/>
              </w:rPr>
              <w:t>．</w:t>
            </w:r>
            <w:r>
              <w:rPr>
                <w:rFonts w:hint="eastAsia"/>
                <w:sz w:val="22"/>
                <w:szCs w:val="22"/>
                <w:lang w:val="zh-CN"/>
              </w:rPr>
              <w:t>响应人</w:t>
            </w:r>
            <w:r>
              <w:rPr>
                <w:sz w:val="22"/>
                <w:szCs w:val="22"/>
                <w:lang w:val="zh-CN"/>
              </w:rPr>
              <w:t>在报价活动中无欺诈行为；</w:t>
            </w:r>
          </w:p>
          <w:p>
            <w:pPr>
              <w:autoSpaceDE w:val="0"/>
              <w:autoSpaceDN w:val="0"/>
              <w:adjustRightInd w:val="0"/>
              <w:spacing w:line="360" w:lineRule="exact"/>
              <w:rPr>
                <w:sz w:val="22"/>
                <w:szCs w:val="22"/>
                <w:lang w:val="zh-CN"/>
              </w:rPr>
            </w:pPr>
            <w:r>
              <w:rPr>
                <w:sz w:val="22"/>
                <w:szCs w:val="22"/>
              </w:rPr>
              <w:t>f</w:t>
            </w:r>
            <w:r>
              <w:rPr>
                <w:sz w:val="22"/>
                <w:szCs w:val="22"/>
                <w:lang w:val="zh-CN"/>
              </w:rPr>
              <w:t>．</w:t>
            </w:r>
            <w:r>
              <w:rPr>
                <w:rFonts w:hint="eastAsia"/>
                <w:sz w:val="22"/>
                <w:szCs w:val="22"/>
                <w:lang w:val="zh-CN"/>
              </w:rPr>
              <w:t>响应人</w:t>
            </w:r>
            <w:r>
              <w:rPr>
                <w:sz w:val="22"/>
                <w:szCs w:val="22"/>
                <w:lang w:val="zh-CN"/>
              </w:rPr>
              <w:t>未对合同条款有重要保留。</w:t>
            </w:r>
          </w:p>
          <w:p>
            <w:pPr>
              <w:autoSpaceDE w:val="0"/>
              <w:autoSpaceDN w:val="0"/>
              <w:adjustRightInd w:val="0"/>
              <w:spacing w:line="360" w:lineRule="exact"/>
              <w:rPr>
                <w:sz w:val="22"/>
                <w:szCs w:val="22"/>
                <w:lang w:val="zh-CN"/>
              </w:rPr>
            </w:pPr>
            <w:r>
              <w:rPr>
                <w:sz w:val="22"/>
                <w:szCs w:val="22"/>
                <w:lang w:val="zh-CN"/>
              </w:rPr>
              <w:t>（</w:t>
            </w:r>
            <w:r>
              <w:rPr>
                <w:rFonts w:hint="eastAsia"/>
                <w:sz w:val="22"/>
                <w:szCs w:val="22"/>
                <w:lang w:val="en-US" w:eastAsia="zh-CN"/>
              </w:rPr>
              <w:t>7</w:t>
            </w:r>
            <w:r>
              <w:rPr>
                <w:sz w:val="22"/>
                <w:szCs w:val="22"/>
                <w:lang w:val="zh-CN"/>
              </w:rPr>
              <w:t>）</w:t>
            </w:r>
            <w:r>
              <w:rPr>
                <w:rFonts w:hint="eastAsia"/>
                <w:sz w:val="22"/>
                <w:szCs w:val="22"/>
                <w:lang w:val="zh-CN"/>
              </w:rPr>
              <w:t>响应人</w:t>
            </w:r>
            <w:r>
              <w:rPr>
                <w:sz w:val="22"/>
                <w:szCs w:val="22"/>
                <w:lang w:val="zh-CN"/>
              </w:rPr>
              <w:t>报名标段、报价标段二者一致。</w:t>
            </w:r>
          </w:p>
          <w:p>
            <w:pPr>
              <w:autoSpaceDE w:val="0"/>
              <w:autoSpaceDN w:val="0"/>
              <w:adjustRightInd w:val="0"/>
              <w:spacing w:line="360" w:lineRule="exact"/>
              <w:rPr>
                <w:sz w:val="22"/>
                <w:szCs w:val="22"/>
              </w:rPr>
            </w:pPr>
            <w:r>
              <w:rPr>
                <w:sz w:val="22"/>
                <w:szCs w:val="22"/>
              </w:rPr>
              <w:t xml:space="preserve"> (</w:t>
            </w:r>
            <w:r>
              <w:rPr>
                <w:rFonts w:hint="eastAsia"/>
                <w:sz w:val="22"/>
                <w:szCs w:val="22"/>
                <w:lang w:val="en-US" w:eastAsia="zh-CN"/>
              </w:rPr>
              <w:t>8</w:t>
            </w:r>
            <w:r>
              <w:rPr>
                <w:sz w:val="22"/>
                <w:szCs w:val="22"/>
              </w:rPr>
              <w:t>)</w:t>
            </w:r>
            <w:r>
              <w:rPr>
                <w:bCs/>
                <w:sz w:val="22"/>
                <w:szCs w:val="22"/>
                <w:lang w:val="zh-CN"/>
              </w:rPr>
              <w:t>项目实施方案</w:t>
            </w:r>
            <w:r>
              <w:rPr>
                <w:sz w:val="22"/>
                <w:szCs w:val="22"/>
                <w:lang w:val="zh-CN"/>
              </w:rPr>
              <w:t>与</w:t>
            </w:r>
            <w:r>
              <w:rPr>
                <w:rFonts w:hint="eastAsia"/>
                <w:sz w:val="22"/>
                <w:szCs w:val="22"/>
                <w:lang w:val="zh-CN"/>
              </w:rPr>
              <w:t>采购文件</w:t>
            </w:r>
            <w:r>
              <w:rPr>
                <w:sz w:val="22"/>
                <w:szCs w:val="22"/>
                <w:lang w:val="zh-CN"/>
              </w:rPr>
              <w:t>规定一致，未进行修改和删减。</w:t>
            </w:r>
          </w:p>
          <w:p>
            <w:pPr>
              <w:spacing w:line="360" w:lineRule="exact"/>
              <w:rPr>
                <w:sz w:val="22"/>
                <w:szCs w:val="22"/>
              </w:rPr>
            </w:pPr>
          </w:p>
        </w:tc>
      </w:tr>
      <w:tr>
        <w:tblPrEx>
          <w:tblLayout w:type="fixed"/>
          <w:tblCellMar>
            <w:top w:w="0" w:type="dxa"/>
            <w:left w:w="108" w:type="dxa"/>
            <w:bottom w:w="0" w:type="dxa"/>
            <w:right w:w="108" w:type="dxa"/>
          </w:tblCellMar>
        </w:tblPrEx>
        <w:trPr>
          <w:trHeight w:val="454" w:hRule="atLeast"/>
        </w:trPr>
        <w:tc>
          <w:tcPr>
            <w:tcW w:w="1120" w:type="dxa"/>
            <w:tcBorders>
              <w:top w:val="single" w:color="auto" w:sz="4" w:space="0"/>
              <w:left w:val="single" w:color="auto" w:sz="4" w:space="0"/>
              <w:bottom w:val="single" w:color="auto" w:sz="4" w:space="0"/>
              <w:right w:val="single" w:color="auto" w:sz="4" w:space="0"/>
            </w:tcBorders>
            <w:vAlign w:val="center"/>
          </w:tcPr>
          <w:p>
            <w:pPr>
              <w:jc w:val="center"/>
              <w:rPr>
                <w:sz w:val="22"/>
                <w:szCs w:val="22"/>
              </w:rPr>
            </w:pPr>
            <w:r>
              <w:rPr>
                <w:sz w:val="22"/>
                <w:szCs w:val="22"/>
              </w:rPr>
              <w:t>2.1.2</w:t>
            </w:r>
          </w:p>
        </w:tc>
        <w:tc>
          <w:tcPr>
            <w:tcW w:w="1243" w:type="dxa"/>
            <w:tcBorders>
              <w:top w:val="single" w:color="auto" w:sz="4" w:space="0"/>
              <w:left w:val="single" w:color="auto" w:sz="4" w:space="0"/>
              <w:bottom w:val="single" w:color="auto" w:sz="4" w:space="0"/>
              <w:right w:val="single" w:color="auto" w:sz="4" w:space="0"/>
            </w:tcBorders>
            <w:vAlign w:val="center"/>
          </w:tcPr>
          <w:p>
            <w:pPr>
              <w:jc w:val="center"/>
              <w:rPr>
                <w:sz w:val="22"/>
                <w:szCs w:val="22"/>
              </w:rPr>
            </w:pPr>
            <w:r>
              <w:rPr>
                <w:sz w:val="22"/>
                <w:szCs w:val="22"/>
              </w:rPr>
              <w:t>资格评审标准</w:t>
            </w:r>
          </w:p>
        </w:tc>
        <w:tc>
          <w:tcPr>
            <w:tcW w:w="1185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rPr>
                <w:sz w:val="22"/>
                <w:szCs w:val="22"/>
              </w:rPr>
            </w:pPr>
            <w:r>
              <w:rPr>
                <w:sz w:val="22"/>
                <w:szCs w:val="22"/>
              </w:rPr>
              <w:t>（1）资格要求符合</w:t>
            </w:r>
            <w:r>
              <w:rPr>
                <w:rFonts w:hint="eastAsia"/>
                <w:sz w:val="22"/>
                <w:szCs w:val="22"/>
              </w:rPr>
              <w:t>响应人</w:t>
            </w:r>
            <w:r>
              <w:rPr>
                <w:sz w:val="22"/>
                <w:szCs w:val="22"/>
              </w:rPr>
              <w:t>须知资料表附录1规定；</w:t>
            </w:r>
          </w:p>
          <w:p>
            <w:pPr>
              <w:autoSpaceDE w:val="0"/>
              <w:autoSpaceDN w:val="0"/>
              <w:adjustRightInd w:val="0"/>
              <w:spacing w:line="360" w:lineRule="exact"/>
              <w:rPr>
                <w:sz w:val="22"/>
                <w:szCs w:val="22"/>
              </w:rPr>
            </w:pPr>
            <w:r>
              <w:rPr>
                <w:sz w:val="22"/>
                <w:szCs w:val="22"/>
              </w:rPr>
              <w:t>（2）业绩条件符合</w:t>
            </w:r>
            <w:r>
              <w:rPr>
                <w:rFonts w:hint="eastAsia"/>
                <w:sz w:val="22"/>
                <w:szCs w:val="22"/>
              </w:rPr>
              <w:t>响应人</w:t>
            </w:r>
            <w:r>
              <w:rPr>
                <w:sz w:val="22"/>
                <w:szCs w:val="22"/>
              </w:rPr>
              <w:t>须知资料表附录2规定；</w:t>
            </w:r>
          </w:p>
          <w:p>
            <w:pPr>
              <w:autoSpaceDE w:val="0"/>
              <w:autoSpaceDN w:val="0"/>
              <w:adjustRightInd w:val="0"/>
              <w:spacing w:line="360" w:lineRule="exact"/>
              <w:rPr>
                <w:sz w:val="22"/>
                <w:szCs w:val="22"/>
              </w:rPr>
            </w:pPr>
            <w:r>
              <w:rPr>
                <w:sz w:val="22"/>
                <w:szCs w:val="22"/>
              </w:rPr>
              <w:t>（3）主要人员要求符合</w:t>
            </w:r>
            <w:r>
              <w:rPr>
                <w:rFonts w:hint="eastAsia"/>
                <w:sz w:val="22"/>
                <w:szCs w:val="22"/>
              </w:rPr>
              <w:t>响应人</w:t>
            </w:r>
            <w:r>
              <w:rPr>
                <w:sz w:val="22"/>
                <w:szCs w:val="22"/>
              </w:rPr>
              <w:t>须知资料表附录</w:t>
            </w:r>
            <w:r>
              <w:rPr>
                <w:rFonts w:hint="eastAsia"/>
                <w:sz w:val="22"/>
                <w:szCs w:val="22"/>
              </w:rPr>
              <w:t>3</w:t>
            </w:r>
            <w:r>
              <w:rPr>
                <w:sz w:val="22"/>
                <w:szCs w:val="22"/>
              </w:rPr>
              <w:t>规定。</w:t>
            </w:r>
          </w:p>
          <w:p>
            <w:pPr>
              <w:autoSpaceDE w:val="0"/>
              <w:autoSpaceDN w:val="0"/>
              <w:adjustRightInd w:val="0"/>
              <w:spacing w:line="360" w:lineRule="exact"/>
              <w:rPr>
                <w:sz w:val="22"/>
                <w:szCs w:val="22"/>
              </w:rPr>
            </w:pPr>
            <w:r>
              <w:rPr>
                <w:sz w:val="22"/>
                <w:szCs w:val="22"/>
              </w:rPr>
              <w:t>（</w:t>
            </w:r>
            <w:r>
              <w:rPr>
                <w:rFonts w:hint="eastAsia"/>
                <w:sz w:val="22"/>
                <w:szCs w:val="22"/>
              </w:rPr>
              <w:t>4</w:t>
            </w:r>
            <w:r>
              <w:rPr>
                <w:sz w:val="22"/>
                <w:szCs w:val="22"/>
              </w:rPr>
              <w:t>）</w:t>
            </w:r>
            <w:r>
              <w:rPr>
                <w:rFonts w:hint="eastAsia"/>
                <w:sz w:val="22"/>
                <w:szCs w:val="22"/>
              </w:rPr>
              <w:t>响应人</w:t>
            </w:r>
            <w:r>
              <w:rPr>
                <w:sz w:val="22"/>
                <w:szCs w:val="22"/>
              </w:rPr>
              <w:t>的其他要求符合</w:t>
            </w:r>
            <w:r>
              <w:rPr>
                <w:rFonts w:hint="eastAsia"/>
                <w:sz w:val="22"/>
                <w:szCs w:val="22"/>
              </w:rPr>
              <w:t>采购文件</w:t>
            </w:r>
            <w:r>
              <w:rPr>
                <w:sz w:val="22"/>
                <w:szCs w:val="22"/>
              </w:rPr>
              <w:t>规定；</w:t>
            </w:r>
          </w:p>
        </w:tc>
      </w:tr>
      <w:tr>
        <w:tblPrEx>
          <w:tblLayout w:type="fixed"/>
          <w:tblCellMar>
            <w:top w:w="0" w:type="dxa"/>
            <w:left w:w="108" w:type="dxa"/>
            <w:bottom w:w="0" w:type="dxa"/>
            <w:right w:w="108" w:type="dxa"/>
          </w:tblCellMar>
        </w:tblPrEx>
        <w:trPr>
          <w:trHeight w:val="454" w:hRule="atLeast"/>
        </w:trPr>
        <w:tc>
          <w:tcPr>
            <w:tcW w:w="1421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eastAsiaTheme="majorEastAsia"/>
                <w:b/>
                <w:szCs w:val="21"/>
              </w:rPr>
            </w:pPr>
            <w:r>
              <w:rPr>
                <w:rFonts w:eastAsiaTheme="majorEastAsia"/>
                <w:b/>
                <w:szCs w:val="21"/>
              </w:rPr>
              <w:t>备注：</w:t>
            </w:r>
          </w:p>
          <w:p>
            <w:pPr>
              <w:autoSpaceDE w:val="0"/>
              <w:autoSpaceDN w:val="0"/>
              <w:adjustRightInd w:val="0"/>
              <w:spacing w:line="360" w:lineRule="exact"/>
              <w:rPr>
                <w:sz w:val="22"/>
                <w:szCs w:val="22"/>
              </w:rPr>
            </w:pPr>
            <w:r>
              <w:rPr>
                <w:rFonts w:hint="eastAsia"/>
                <w:sz w:val="22"/>
                <w:szCs w:val="22"/>
              </w:rPr>
              <w:t>1、</w:t>
            </w:r>
            <w:r>
              <w:rPr>
                <w:sz w:val="22"/>
                <w:szCs w:val="22"/>
              </w:rPr>
              <w:t>近三年：</w:t>
            </w:r>
            <w:r>
              <w:rPr>
                <w:rFonts w:hint="eastAsia"/>
                <w:sz w:val="22"/>
                <w:szCs w:val="22"/>
              </w:rPr>
              <w:t>指</w:t>
            </w:r>
            <w:r>
              <w:rPr>
                <w:sz w:val="22"/>
                <w:szCs w:val="22"/>
              </w:rPr>
              <w:t>2016 年1月1日至今</w:t>
            </w:r>
            <w:r>
              <w:rPr>
                <w:rFonts w:hint="eastAsia"/>
                <w:sz w:val="22"/>
                <w:szCs w:val="22"/>
              </w:rPr>
              <w:t>。</w:t>
            </w:r>
          </w:p>
          <w:p>
            <w:pPr>
              <w:autoSpaceDE w:val="0"/>
              <w:autoSpaceDN w:val="0"/>
              <w:adjustRightInd w:val="0"/>
              <w:spacing w:line="360" w:lineRule="exact"/>
              <w:rPr>
                <w:sz w:val="22"/>
                <w:szCs w:val="22"/>
              </w:rPr>
            </w:pPr>
            <w:r>
              <w:rPr>
                <w:rFonts w:hint="eastAsia"/>
                <w:sz w:val="22"/>
                <w:szCs w:val="22"/>
              </w:rPr>
              <w:t>2、</w:t>
            </w:r>
            <w:r>
              <w:rPr>
                <w:sz w:val="22"/>
                <w:szCs w:val="22"/>
              </w:rPr>
              <w:t>类似业绩：指单项房建工程</w:t>
            </w:r>
            <w:r>
              <w:rPr>
                <w:rFonts w:hint="eastAsia"/>
                <w:sz w:val="22"/>
                <w:szCs w:val="22"/>
              </w:rPr>
              <w:t>①</w:t>
            </w:r>
            <w:r>
              <w:rPr>
                <w:sz w:val="22"/>
                <w:szCs w:val="22"/>
              </w:rPr>
              <w:t>咨询合同</w:t>
            </w:r>
            <w:r>
              <w:rPr>
                <w:rFonts w:hint="eastAsia"/>
                <w:sz w:val="22"/>
                <w:szCs w:val="22"/>
              </w:rPr>
              <w:t>额</w:t>
            </w:r>
            <w:r>
              <w:rPr>
                <w:sz w:val="22"/>
                <w:szCs w:val="22"/>
              </w:rPr>
              <w:t>在30万元及以上</w:t>
            </w:r>
            <w:r>
              <w:rPr>
                <w:rFonts w:hint="eastAsia"/>
                <w:sz w:val="22"/>
                <w:szCs w:val="22"/>
              </w:rPr>
              <w:t>②</w:t>
            </w:r>
            <w:r>
              <w:rPr>
                <w:sz w:val="22"/>
                <w:szCs w:val="22"/>
              </w:rPr>
              <w:t>建筑面积</w:t>
            </w:r>
            <w:r>
              <w:rPr>
                <w:rFonts w:hint="eastAsia"/>
                <w:sz w:val="22"/>
                <w:szCs w:val="22"/>
              </w:rPr>
              <w:t>在</w:t>
            </w:r>
            <w:r>
              <w:rPr>
                <w:sz w:val="22"/>
                <w:szCs w:val="22"/>
              </w:rPr>
              <w:t>10万㎡及以上</w:t>
            </w:r>
            <w:r>
              <w:rPr>
                <w:rFonts w:hint="eastAsia"/>
                <w:sz w:val="22"/>
                <w:szCs w:val="22"/>
              </w:rPr>
              <w:t>③工程造价在</w:t>
            </w:r>
            <w:r>
              <w:rPr>
                <w:sz w:val="22"/>
                <w:szCs w:val="22"/>
              </w:rPr>
              <w:t>2亿元及以上</w:t>
            </w:r>
            <w:r>
              <w:rPr>
                <w:rFonts w:hint="eastAsia"/>
                <w:sz w:val="22"/>
                <w:szCs w:val="22"/>
              </w:rPr>
              <w:t>，符合上述三者之一的工程量清单、招标控制价编制</w:t>
            </w:r>
            <w:r>
              <w:rPr>
                <w:sz w:val="22"/>
                <w:szCs w:val="22"/>
              </w:rPr>
              <w:t>造价咨询服务业绩。</w:t>
            </w:r>
          </w:p>
          <w:p>
            <w:pPr>
              <w:autoSpaceDE w:val="0"/>
              <w:autoSpaceDN w:val="0"/>
              <w:adjustRightInd w:val="0"/>
              <w:spacing w:line="360" w:lineRule="exact"/>
              <w:rPr>
                <w:sz w:val="22"/>
                <w:szCs w:val="22"/>
              </w:rPr>
            </w:pPr>
            <w:r>
              <w:rPr>
                <w:rFonts w:hint="eastAsia"/>
                <w:sz w:val="22"/>
                <w:szCs w:val="22"/>
              </w:rPr>
              <w:t>3、类似</w:t>
            </w:r>
            <w:r>
              <w:rPr>
                <w:sz w:val="22"/>
                <w:szCs w:val="22"/>
              </w:rPr>
              <w:t>业绩证明材料:须</w:t>
            </w:r>
            <w:r>
              <w:rPr>
                <w:rFonts w:hint="eastAsia"/>
                <w:sz w:val="22"/>
                <w:szCs w:val="22"/>
              </w:rPr>
              <w:t>同时</w:t>
            </w:r>
            <w:r>
              <w:rPr>
                <w:sz w:val="22"/>
                <w:szCs w:val="22"/>
              </w:rPr>
              <w:t>提供</w:t>
            </w:r>
            <w:r>
              <w:rPr>
                <w:rFonts w:hint="eastAsia"/>
                <w:sz w:val="22"/>
                <w:szCs w:val="22"/>
              </w:rPr>
              <w:t>①</w:t>
            </w:r>
            <w:r>
              <w:rPr>
                <w:sz w:val="22"/>
                <w:szCs w:val="22"/>
              </w:rPr>
              <w:t>同</w:t>
            </w:r>
            <w:r>
              <w:rPr>
                <w:rFonts w:hint="eastAsia"/>
                <w:sz w:val="22"/>
                <w:szCs w:val="22"/>
              </w:rPr>
              <w:t>委托方</w:t>
            </w:r>
            <w:r>
              <w:rPr>
                <w:sz w:val="22"/>
                <w:szCs w:val="22"/>
              </w:rPr>
              <w:t>签订的合同协议书</w:t>
            </w:r>
            <w:r>
              <w:rPr>
                <w:rFonts w:hint="eastAsia"/>
                <w:sz w:val="22"/>
                <w:szCs w:val="22"/>
              </w:rPr>
              <w:t>②</w:t>
            </w:r>
            <w:r>
              <w:rPr>
                <w:sz w:val="22"/>
                <w:szCs w:val="22"/>
              </w:rPr>
              <w:t>相应造价咨询成果资料（清单及控制价</w:t>
            </w:r>
            <w:r>
              <w:rPr>
                <w:rFonts w:hint="eastAsia"/>
                <w:sz w:val="22"/>
                <w:szCs w:val="22"/>
              </w:rPr>
              <w:t>编制</w:t>
            </w:r>
            <w:r>
              <w:rPr>
                <w:sz w:val="22"/>
                <w:szCs w:val="22"/>
              </w:rPr>
              <w:t>提供</w:t>
            </w:r>
            <w:r>
              <w:rPr>
                <w:rFonts w:hint="eastAsia"/>
                <w:sz w:val="22"/>
                <w:szCs w:val="22"/>
              </w:rPr>
              <w:t>清单</w:t>
            </w:r>
            <w:r>
              <w:rPr>
                <w:sz w:val="22"/>
                <w:szCs w:val="22"/>
              </w:rPr>
              <w:t>控制价封面），</w:t>
            </w:r>
            <w:r>
              <w:rPr>
                <w:rFonts w:hint="eastAsia"/>
                <w:sz w:val="22"/>
                <w:szCs w:val="22"/>
              </w:rPr>
              <w:t>证明材料须体现所要求的面积、金额、项目负责人等评审因素，如不能体现的，</w:t>
            </w:r>
            <w:r>
              <w:rPr>
                <w:sz w:val="22"/>
                <w:szCs w:val="22"/>
              </w:rPr>
              <w:t>须提供</w:t>
            </w:r>
            <w:r>
              <w:rPr>
                <w:rFonts w:hint="eastAsia"/>
                <w:sz w:val="22"/>
                <w:szCs w:val="22"/>
              </w:rPr>
              <w:t>委托方</w:t>
            </w:r>
            <w:r>
              <w:rPr>
                <w:sz w:val="22"/>
                <w:szCs w:val="22"/>
              </w:rPr>
              <w:t>出具的</w:t>
            </w:r>
            <w:r>
              <w:rPr>
                <w:rFonts w:hint="eastAsia"/>
                <w:sz w:val="22"/>
                <w:szCs w:val="22"/>
              </w:rPr>
              <w:t>书面</w:t>
            </w:r>
            <w:r>
              <w:rPr>
                <w:sz w:val="22"/>
                <w:szCs w:val="22"/>
              </w:rPr>
              <w:t>证明材料</w:t>
            </w:r>
            <w:r>
              <w:rPr>
                <w:rFonts w:hint="eastAsia"/>
                <w:sz w:val="22"/>
                <w:szCs w:val="22"/>
              </w:rPr>
              <w:t>，业绩</w:t>
            </w:r>
            <w:r>
              <w:rPr>
                <w:sz w:val="22"/>
                <w:szCs w:val="22"/>
              </w:rPr>
              <w:t>时间以合同签订时间为准</w:t>
            </w:r>
            <w:r>
              <w:rPr>
                <w:rFonts w:hint="eastAsia"/>
                <w:sz w:val="22"/>
                <w:szCs w:val="22"/>
              </w:rPr>
              <w:t>。</w:t>
            </w:r>
          </w:p>
          <w:p>
            <w:pPr>
              <w:autoSpaceDE w:val="0"/>
              <w:autoSpaceDN w:val="0"/>
              <w:adjustRightInd w:val="0"/>
              <w:spacing w:line="360" w:lineRule="exact"/>
              <w:rPr>
                <w:sz w:val="22"/>
                <w:szCs w:val="22"/>
              </w:rPr>
            </w:pPr>
            <w:r>
              <w:rPr>
                <w:sz w:val="22"/>
                <w:szCs w:val="22"/>
              </w:rPr>
              <w:t>4</w:t>
            </w:r>
            <w:r>
              <w:rPr>
                <w:rFonts w:hint="eastAsia"/>
                <w:sz w:val="22"/>
                <w:szCs w:val="22"/>
              </w:rPr>
              <w:t>、团队负责人社会保险证明须提供响应人所属社保机构出具的社保缴费证明（</w:t>
            </w:r>
            <w:r>
              <w:rPr>
                <w:sz w:val="22"/>
                <w:szCs w:val="22"/>
              </w:rPr>
              <w:t>2018</w:t>
            </w:r>
            <w:r>
              <w:rPr>
                <w:rFonts w:hint="eastAsia"/>
                <w:sz w:val="22"/>
                <w:szCs w:val="22"/>
              </w:rPr>
              <w:t>年</w:t>
            </w:r>
            <w:r>
              <w:rPr>
                <w:sz w:val="22"/>
                <w:szCs w:val="22"/>
              </w:rPr>
              <w:t xml:space="preserve"> 1</w:t>
            </w:r>
            <w:r>
              <w:rPr>
                <w:rFonts w:hint="eastAsia"/>
                <w:sz w:val="22"/>
                <w:szCs w:val="22"/>
              </w:rPr>
              <w:t>月后至少</w:t>
            </w:r>
            <w:r>
              <w:rPr>
                <w:sz w:val="22"/>
                <w:szCs w:val="22"/>
              </w:rPr>
              <w:t xml:space="preserve"> 12</w:t>
            </w:r>
            <w:r>
              <w:rPr>
                <w:rFonts w:hint="eastAsia"/>
                <w:sz w:val="22"/>
                <w:szCs w:val="22"/>
              </w:rPr>
              <w:t>个月，含</w:t>
            </w:r>
            <w:r>
              <w:rPr>
                <w:sz w:val="22"/>
                <w:szCs w:val="22"/>
              </w:rPr>
              <w:t>2018</w:t>
            </w:r>
            <w:r>
              <w:rPr>
                <w:rFonts w:hint="eastAsia"/>
                <w:sz w:val="22"/>
                <w:szCs w:val="22"/>
              </w:rPr>
              <w:t>年</w:t>
            </w:r>
            <w:r>
              <w:rPr>
                <w:sz w:val="22"/>
                <w:szCs w:val="22"/>
              </w:rPr>
              <w:t xml:space="preserve"> 1</w:t>
            </w:r>
            <w:r>
              <w:rPr>
                <w:rFonts w:hint="eastAsia"/>
                <w:sz w:val="22"/>
                <w:szCs w:val="22"/>
              </w:rPr>
              <w:t>月）。</w:t>
            </w:r>
          </w:p>
          <w:p>
            <w:pPr>
              <w:autoSpaceDE w:val="0"/>
              <w:autoSpaceDN w:val="0"/>
              <w:adjustRightInd w:val="0"/>
              <w:spacing w:line="360" w:lineRule="exact"/>
              <w:rPr>
                <w:sz w:val="22"/>
                <w:szCs w:val="22"/>
              </w:rPr>
            </w:pPr>
            <w:r>
              <w:rPr>
                <w:rFonts w:hint="eastAsia"/>
                <w:sz w:val="22"/>
                <w:szCs w:val="22"/>
              </w:rPr>
              <w:t>5、响应人</w:t>
            </w:r>
            <w:r>
              <w:rPr>
                <w:sz w:val="22"/>
                <w:szCs w:val="22"/>
              </w:rPr>
              <w:t>与拟派团队负责人的业绩可以为同一业绩。</w:t>
            </w:r>
          </w:p>
          <w:p>
            <w:pPr>
              <w:autoSpaceDE w:val="0"/>
              <w:autoSpaceDN w:val="0"/>
              <w:adjustRightInd w:val="0"/>
              <w:spacing w:line="360" w:lineRule="exact"/>
              <w:rPr>
                <w:sz w:val="22"/>
                <w:szCs w:val="22"/>
              </w:rPr>
            </w:pPr>
            <w:r>
              <w:rPr>
                <w:rFonts w:hint="eastAsia"/>
                <w:sz w:val="22"/>
                <w:szCs w:val="22"/>
              </w:rPr>
              <w:t>6、</w:t>
            </w:r>
            <w:r>
              <w:rPr>
                <w:sz w:val="22"/>
                <w:szCs w:val="22"/>
              </w:rPr>
              <w:t>招标文件所需的资料，</w:t>
            </w:r>
            <w:r>
              <w:rPr>
                <w:rFonts w:hint="eastAsia"/>
                <w:sz w:val="22"/>
                <w:szCs w:val="22"/>
              </w:rPr>
              <w:t>响应人</w:t>
            </w:r>
            <w:r>
              <w:rPr>
                <w:sz w:val="22"/>
                <w:szCs w:val="22"/>
              </w:rPr>
              <w:t>应按要求保证在有效期内，</w:t>
            </w:r>
            <w:r>
              <w:rPr>
                <w:rFonts w:hint="eastAsia"/>
                <w:sz w:val="22"/>
                <w:szCs w:val="22"/>
              </w:rPr>
              <w:t>如不在有效期内，应提供相关部门的合法批件或其他相关书面证明材料证明其有效性。</w:t>
            </w:r>
          </w:p>
        </w:tc>
      </w:tr>
    </w:tbl>
    <w:p>
      <w:pPr>
        <w:spacing w:line="360" w:lineRule="auto"/>
        <w:jc w:val="left"/>
        <w:rPr>
          <w:rFonts w:eastAsia="黑体"/>
          <w:sz w:val="27"/>
          <w:szCs w:val="27"/>
        </w:rPr>
      </w:pPr>
    </w:p>
    <w:tbl>
      <w:tblPr>
        <w:tblStyle w:val="61"/>
        <w:tblW w:w="1421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023"/>
        <w:gridCol w:w="2237"/>
        <w:gridCol w:w="895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3023" w:type="dxa"/>
            <w:tcBorders>
              <w:top w:val="single" w:color="auto" w:sz="4" w:space="0"/>
              <w:bottom w:val="single" w:color="auto" w:sz="4" w:space="0"/>
              <w:right w:val="single" w:color="auto" w:sz="4" w:space="0"/>
            </w:tcBorders>
            <w:vAlign w:val="center"/>
          </w:tcPr>
          <w:p>
            <w:pPr>
              <w:jc w:val="center"/>
              <w:rPr>
                <w:b/>
                <w:sz w:val="22"/>
                <w:szCs w:val="22"/>
              </w:rPr>
            </w:pPr>
            <w:r>
              <w:rPr>
                <w:b/>
                <w:sz w:val="22"/>
                <w:szCs w:val="22"/>
              </w:rPr>
              <w:t>条款号</w:t>
            </w:r>
          </w:p>
        </w:tc>
        <w:tc>
          <w:tcPr>
            <w:tcW w:w="2237" w:type="dxa"/>
            <w:tcBorders>
              <w:top w:val="single" w:color="auto" w:sz="4" w:space="0"/>
              <w:bottom w:val="single" w:color="auto" w:sz="4" w:space="0"/>
              <w:right w:val="single" w:color="auto" w:sz="4" w:space="0"/>
            </w:tcBorders>
            <w:vAlign w:val="center"/>
          </w:tcPr>
          <w:p>
            <w:pPr>
              <w:jc w:val="center"/>
              <w:rPr>
                <w:b/>
                <w:sz w:val="22"/>
                <w:szCs w:val="22"/>
              </w:rPr>
            </w:pPr>
            <w:r>
              <w:rPr>
                <w:b/>
                <w:sz w:val="22"/>
                <w:szCs w:val="22"/>
              </w:rPr>
              <w:t>条款内容</w:t>
            </w:r>
          </w:p>
        </w:tc>
        <w:tc>
          <w:tcPr>
            <w:tcW w:w="8957" w:type="dxa"/>
            <w:tcBorders>
              <w:top w:val="single" w:color="auto" w:sz="4" w:space="0"/>
              <w:left w:val="single" w:color="auto" w:sz="4" w:space="0"/>
              <w:bottom w:val="single" w:color="auto" w:sz="4" w:space="0"/>
              <w:right w:val="single" w:color="auto" w:sz="4" w:space="0"/>
            </w:tcBorders>
            <w:vAlign w:val="center"/>
          </w:tcPr>
          <w:p>
            <w:pPr>
              <w:jc w:val="center"/>
              <w:rPr>
                <w:b/>
                <w:sz w:val="22"/>
                <w:szCs w:val="22"/>
              </w:rPr>
            </w:pPr>
            <w:r>
              <w:rPr>
                <w:b/>
                <w:sz w:val="22"/>
                <w:szCs w:val="22"/>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3023" w:type="dxa"/>
            <w:tcBorders>
              <w:top w:val="single" w:color="auto" w:sz="4" w:space="0"/>
              <w:bottom w:val="single" w:color="auto" w:sz="4" w:space="0"/>
              <w:right w:val="single" w:color="auto" w:sz="4" w:space="0"/>
            </w:tcBorders>
            <w:vAlign w:val="center"/>
          </w:tcPr>
          <w:p>
            <w:pPr>
              <w:jc w:val="center"/>
              <w:rPr>
                <w:sz w:val="22"/>
                <w:szCs w:val="22"/>
              </w:rPr>
            </w:pPr>
            <w:r>
              <w:rPr>
                <w:sz w:val="22"/>
                <w:szCs w:val="22"/>
              </w:rPr>
              <w:t>2.2.1</w:t>
            </w:r>
          </w:p>
        </w:tc>
        <w:tc>
          <w:tcPr>
            <w:tcW w:w="2237" w:type="dxa"/>
            <w:tcBorders>
              <w:top w:val="single" w:color="auto" w:sz="4" w:space="0"/>
              <w:left w:val="single" w:color="auto" w:sz="4" w:space="0"/>
              <w:bottom w:val="single" w:color="auto" w:sz="4" w:space="0"/>
              <w:right w:val="single" w:color="auto" w:sz="4" w:space="0"/>
            </w:tcBorders>
            <w:vAlign w:val="center"/>
          </w:tcPr>
          <w:p>
            <w:pPr>
              <w:jc w:val="left"/>
              <w:rPr>
                <w:sz w:val="22"/>
                <w:szCs w:val="22"/>
              </w:rPr>
            </w:pPr>
            <w:r>
              <w:rPr>
                <w:sz w:val="22"/>
                <w:szCs w:val="22"/>
              </w:rPr>
              <w:t>分值构成</w:t>
            </w:r>
          </w:p>
          <w:p>
            <w:pPr>
              <w:jc w:val="left"/>
              <w:rPr>
                <w:sz w:val="22"/>
                <w:szCs w:val="22"/>
              </w:rPr>
            </w:pPr>
            <w:r>
              <w:rPr>
                <w:sz w:val="22"/>
                <w:szCs w:val="22"/>
              </w:rPr>
              <w:t>(总分100分)</w:t>
            </w:r>
          </w:p>
        </w:tc>
        <w:tc>
          <w:tcPr>
            <w:tcW w:w="8957" w:type="dxa"/>
            <w:tcBorders>
              <w:top w:val="single" w:color="auto" w:sz="4" w:space="0"/>
              <w:left w:val="single" w:color="auto" w:sz="4" w:space="0"/>
              <w:bottom w:val="single" w:color="auto" w:sz="4" w:space="0"/>
              <w:right w:val="single" w:color="auto" w:sz="4" w:space="0"/>
            </w:tcBorders>
            <w:vAlign w:val="center"/>
          </w:tcPr>
          <w:p>
            <w:pPr>
              <w:rPr>
                <w:b/>
                <w:sz w:val="22"/>
                <w:szCs w:val="22"/>
              </w:rPr>
            </w:pPr>
            <w:r>
              <w:rPr>
                <w:b/>
                <w:sz w:val="22"/>
                <w:szCs w:val="22"/>
              </w:rPr>
              <w:t>技术评分满分</w:t>
            </w:r>
            <w:r>
              <w:rPr>
                <w:rFonts w:hint="eastAsia"/>
                <w:b/>
                <w:sz w:val="22"/>
                <w:szCs w:val="22"/>
              </w:rPr>
              <w:t>8</w:t>
            </w:r>
            <w:r>
              <w:rPr>
                <w:b/>
                <w:sz w:val="22"/>
                <w:szCs w:val="22"/>
              </w:rPr>
              <w:t>0分；</w:t>
            </w:r>
          </w:p>
          <w:p>
            <w:pPr>
              <w:rPr>
                <w:sz w:val="22"/>
                <w:szCs w:val="22"/>
              </w:rPr>
            </w:pPr>
            <w:r>
              <w:rPr>
                <w:rFonts w:hint="eastAsia"/>
                <w:sz w:val="22"/>
                <w:szCs w:val="22"/>
              </w:rPr>
              <w:t>企业情况</w:t>
            </w:r>
            <w:r>
              <w:rPr>
                <w:sz w:val="22"/>
                <w:szCs w:val="22"/>
              </w:rPr>
              <w:t>：</w:t>
            </w:r>
            <w:r>
              <w:rPr>
                <w:sz w:val="22"/>
                <w:szCs w:val="22"/>
                <w:u w:val="single"/>
              </w:rPr>
              <w:t xml:space="preserve"> </w:t>
            </w:r>
            <w:r>
              <w:rPr>
                <w:rFonts w:hint="eastAsia"/>
                <w:sz w:val="22"/>
                <w:szCs w:val="22"/>
                <w:u w:val="single"/>
              </w:rPr>
              <w:t>33</w:t>
            </w:r>
            <w:r>
              <w:rPr>
                <w:sz w:val="22"/>
                <w:szCs w:val="22"/>
                <w:u w:val="single"/>
              </w:rPr>
              <w:t xml:space="preserve"> </w:t>
            </w:r>
            <w:r>
              <w:rPr>
                <w:sz w:val="22"/>
                <w:szCs w:val="22"/>
              </w:rPr>
              <w:t>分</w:t>
            </w:r>
          </w:p>
          <w:p>
            <w:pPr>
              <w:rPr>
                <w:sz w:val="22"/>
                <w:szCs w:val="22"/>
              </w:rPr>
            </w:pPr>
            <w:r>
              <w:rPr>
                <w:rFonts w:hint="eastAsia"/>
                <w:sz w:val="22"/>
                <w:szCs w:val="22"/>
              </w:rPr>
              <w:t>拟派团队情况：</w:t>
            </w:r>
            <w:r>
              <w:rPr>
                <w:rFonts w:hint="eastAsia"/>
                <w:sz w:val="22"/>
                <w:szCs w:val="22"/>
                <w:u w:val="single"/>
              </w:rPr>
              <w:t xml:space="preserve"> 32</w:t>
            </w:r>
            <w:r>
              <w:rPr>
                <w:sz w:val="22"/>
                <w:szCs w:val="22"/>
                <w:u w:val="single"/>
              </w:rPr>
              <w:t xml:space="preserve"> </w:t>
            </w:r>
            <w:r>
              <w:rPr>
                <w:sz w:val="22"/>
                <w:szCs w:val="22"/>
              </w:rPr>
              <w:t>分</w:t>
            </w:r>
          </w:p>
          <w:p>
            <w:pPr>
              <w:rPr>
                <w:sz w:val="22"/>
                <w:szCs w:val="22"/>
              </w:rPr>
            </w:pPr>
            <w:r>
              <w:rPr>
                <w:rFonts w:hint="eastAsia"/>
                <w:sz w:val="22"/>
                <w:szCs w:val="22"/>
              </w:rPr>
              <w:t>造价咨询服务方案：</w:t>
            </w:r>
            <w:r>
              <w:rPr>
                <w:rFonts w:hint="eastAsia"/>
                <w:sz w:val="22"/>
                <w:szCs w:val="22"/>
                <w:u w:val="single"/>
              </w:rPr>
              <w:t xml:space="preserve"> 15分 </w:t>
            </w:r>
          </w:p>
          <w:p>
            <w:pPr>
              <w:rPr>
                <w:sz w:val="22"/>
                <w:szCs w:val="22"/>
              </w:rPr>
            </w:pPr>
            <w:r>
              <w:rPr>
                <w:rFonts w:hint="eastAsia"/>
                <w:b/>
                <w:sz w:val="22"/>
                <w:szCs w:val="22"/>
              </w:rPr>
              <w:t>商务</w:t>
            </w:r>
            <w:r>
              <w:rPr>
                <w:b/>
                <w:sz w:val="22"/>
                <w:szCs w:val="22"/>
              </w:rPr>
              <w:t>报价评分满分</w:t>
            </w:r>
            <w:r>
              <w:rPr>
                <w:rFonts w:hint="eastAsia"/>
                <w:b/>
                <w:sz w:val="22"/>
                <w:szCs w:val="22"/>
              </w:rPr>
              <w:t>2</w:t>
            </w:r>
            <w:r>
              <w:rPr>
                <w:b/>
                <w:sz w:val="22"/>
                <w:szCs w:val="22"/>
              </w:rPr>
              <w:t>0分；</w:t>
            </w:r>
          </w:p>
          <w:p>
            <w:pPr>
              <w:rPr>
                <w:sz w:val="22"/>
                <w:szCs w:val="22"/>
              </w:rPr>
            </w:pPr>
            <w:r>
              <w:rPr>
                <w:sz w:val="22"/>
                <w:szCs w:val="22"/>
              </w:rPr>
              <w:t>评审价：</w:t>
            </w:r>
            <w:r>
              <w:rPr>
                <w:rFonts w:hint="eastAsia"/>
                <w:sz w:val="22"/>
                <w:szCs w:val="22"/>
              </w:rPr>
              <w:t>2</w:t>
            </w:r>
            <w:r>
              <w:rPr>
                <w:sz w:val="22"/>
                <w:szCs w:val="22"/>
                <w:u w:val="single"/>
              </w:rPr>
              <w:t>0</w:t>
            </w:r>
            <w:r>
              <w:rPr>
                <w:sz w:val="22"/>
                <w:szCs w:val="22"/>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3023" w:type="dxa"/>
            <w:tcBorders>
              <w:top w:val="single" w:color="auto" w:sz="4" w:space="0"/>
              <w:bottom w:val="single" w:color="auto" w:sz="4" w:space="0"/>
              <w:right w:val="single" w:color="auto" w:sz="4" w:space="0"/>
            </w:tcBorders>
            <w:vAlign w:val="center"/>
          </w:tcPr>
          <w:p>
            <w:pPr>
              <w:jc w:val="center"/>
              <w:rPr>
                <w:sz w:val="22"/>
                <w:szCs w:val="22"/>
              </w:rPr>
            </w:pPr>
            <w:r>
              <w:rPr>
                <w:sz w:val="22"/>
                <w:szCs w:val="22"/>
              </w:rPr>
              <w:t>2.2.2</w:t>
            </w:r>
          </w:p>
        </w:tc>
        <w:tc>
          <w:tcPr>
            <w:tcW w:w="2237" w:type="dxa"/>
            <w:tcBorders>
              <w:top w:val="single" w:color="auto" w:sz="4" w:space="0"/>
              <w:left w:val="single" w:color="auto" w:sz="4" w:space="0"/>
              <w:bottom w:val="single" w:color="auto" w:sz="4" w:space="0"/>
              <w:right w:val="single" w:color="auto" w:sz="4" w:space="0"/>
            </w:tcBorders>
            <w:vAlign w:val="center"/>
          </w:tcPr>
          <w:p>
            <w:pPr>
              <w:jc w:val="left"/>
              <w:rPr>
                <w:b/>
                <w:sz w:val="22"/>
                <w:szCs w:val="22"/>
              </w:rPr>
            </w:pPr>
            <w:r>
              <w:rPr>
                <w:sz w:val="22"/>
                <w:szCs w:val="22"/>
              </w:rPr>
              <w:t>评审基准价计算方法</w:t>
            </w:r>
          </w:p>
        </w:tc>
        <w:tc>
          <w:tcPr>
            <w:tcW w:w="8957" w:type="dxa"/>
            <w:tcBorders>
              <w:top w:val="single" w:color="auto" w:sz="4" w:space="0"/>
              <w:left w:val="single" w:color="auto" w:sz="4" w:space="0"/>
              <w:bottom w:val="single" w:color="auto" w:sz="4" w:space="0"/>
              <w:right w:val="single" w:color="auto" w:sz="4" w:space="0"/>
            </w:tcBorders>
            <w:vAlign w:val="center"/>
          </w:tcPr>
          <w:p>
            <w:pPr>
              <w:rPr>
                <w:sz w:val="22"/>
                <w:szCs w:val="22"/>
              </w:rPr>
            </w:pPr>
            <w:r>
              <w:rPr>
                <w:sz w:val="22"/>
                <w:szCs w:val="22"/>
              </w:rPr>
              <w:t>评审基准价的计算：</w:t>
            </w:r>
          </w:p>
          <w:p>
            <w:pPr>
              <w:ind w:right="113"/>
              <w:jc w:val="left"/>
              <w:rPr>
                <w:sz w:val="22"/>
                <w:szCs w:val="22"/>
              </w:rPr>
            </w:pPr>
            <w:r>
              <w:rPr>
                <w:sz w:val="22"/>
                <w:szCs w:val="22"/>
              </w:rPr>
              <w:t>(1)评审价的确定：</w:t>
            </w:r>
          </w:p>
          <w:p>
            <w:pPr>
              <w:ind w:right="113"/>
              <w:jc w:val="left"/>
              <w:rPr>
                <w:sz w:val="22"/>
                <w:szCs w:val="22"/>
              </w:rPr>
            </w:pPr>
            <w:r>
              <w:rPr>
                <w:sz w:val="22"/>
                <w:szCs w:val="22"/>
              </w:rPr>
              <w:t>评审价Di＝报价函文字报价</w:t>
            </w:r>
          </w:p>
          <w:p>
            <w:pPr>
              <w:ind w:right="113"/>
              <w:jc w:val="left"/>
              <w:rPr>
                <w:sz w:val="22"/>
                <w:szCs w:val="22"/>
              </w:rPr>
            </w:pPr>
            <w:r>
              <w:rPr>
                <w:sz w:val="22"/>
                <w:szCs w:val="22"/>
              </w:rPr>
              <w:t>(2)评审价基准值的计算：</w:t>
            </w:r>
          </w:p>
          <w:p>
            <w:pPr>
              <w:rPr>
                <w:sz w:val="22"/>
                <w:szCs w:val="22"/>
              </w:rPr>
            </w:pPr>
            <w:r>
              <w:rPr>
                <w:sz w:val="22"/>
                <w:szCs w:val="22"/>
              </w:rPr>
              <w:t>除开封现场被宣布为废标的报价之外，所有</w:t>
            </w:r>
            <w:r>
              <w:rPr>
                <w:rFonts w:hint="eastAsia"/>
                <w:sz w:val="22"/>
                <w:szCs w:val="22"/>
              </w:rPr>
              <w:t>响应人</w:t>
            </w:r>
            <w:r>
              <w:rPr>
                <w:sz w:val="22"/>
                <w:szCs w:val="22"/>
              </w:rPr>
              <w:t>的评审价去掉一个最高值和一个最低值后的算术平均值即为评审基准价D（如果参与评审价平均值计算的有效</w:t>
            </w:r>
            <w:r>
              <w:rPr>
                <w:rFonts w:hint="eastAsia"/>
                <w:sz w:val="22"/>
                <w:szCs w:val="22"/>
              </w:rPr>
              <w:t>响应人</w:t>
            </w:r>
            <w:r>
              <w:rPr>
                <w:sz w:val="22"/>
                <w:szCs w:val="22"/>
              </w:rPr>
              <w:t>少于5家时，则计算评审价平均值时不去掉最高值和最低值）。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3023" w:type="dxa"/>
            <w:tcBorders>
              <w:top w:val="single" w:color="auto" w:sz="4" w:space="0"/>
              <w:bottom w:val="single" w:color="auto" w:sz="4" w:space="0"/>
              <w:right w:val="single" w:color="auto" w:sz="4" w:space="0"/>
            </w:tcBorders>
            <w:vAlign w:val="center"/>
          </w:tcPr>
          <w:p>
            <w:pPr>
              <w:jc w:val="center"/>
              <w:rPr>
                <w:sz w:val="22"/>
                <w:szCs w:val="22"/>
              </w:rPr>
            </w:pPr>
            <w:r>
              <w:rPr>
                <w:sz w:val="22"/>
                <w:szCs w:val="22"/>
              </w:rPr>
              <w:t>2.2.3</w:t>
            </w:r>
          </w:p>
        </w:tc>
        <w:tc>
          <w:tcPr>
            <w:tcW w:w="2237" w:type="dxa"/>
            <w:tcBorders>
              <w:top w:val="single" w:color="auto" w:sz="4" w:space="0"/>
              <w:left w:val="single" w:color="auto" w:sz="4" w:space="0"/>
              <w:bottom w:val="single" w:color="auto" w:sz="4" w:space="0"/>
              <w:right w:val="single" w:color="auto" w:sz="4" w:space="0"/>
            </w:tcBorders>
            <w:vAlign w:val="center"/>
          </w:tcPr>
          <w:p>
            <w:pPr>
              <w:jc w:val="left"/>
              <w:rPr>
                <w:sz w:val="22"/>
                <w:szCs w:val="22"/>
              </w:rPr>
            </w:pPr>
            <w:r>
              <w:rPr>
                <w:sz w:val="22"/>
                <w:szCs w:val="22"/>
              </w:rPr>
              <w:t>评审价的偏差率计算公式</w:t>
            </w:r>
          </w:p>
        </w:tc>
        <w:tc>
          <w:tcPr>
            <w:tcW w:w="8957" w:type="dxa"/>
            <w:tcBorders>
              <w:top w:val="single" w:color="auto" w:sz="4" w:space="0"/>
              <w:left w:val="single" w:color="auto" w:sz="4" w:space="0"/>
              <w:bottom w:val="single" w:color="auto" w:sz="4" w:space="0"/>
              <w:right w:val="single" w:color="auto" w:sz="4" w:space="0"/>
            </w:tcBorders>
            <w:vAlign w:val="center"/>
          </w:tcPr>
          <w:p>
            <w:pPr>
              <w:rPr>
                <w:sz w:val="22"/>
                <w:szCs w:val="22"/>
              </w:rPr>
            </w:pPr>
            <w:r>
              <w:rPr>
                <w:sz w:val="22"/>
                <w:szCs w:val="22"/>
              </w:rPr>
              <w:t>偏差率=100% ×(</w:t>
            </w:r>
            <w:r>
              <w:rPr>
                <w:rFonts w:hint="eastAsia"/>
                <w:sz w:val="22"/>
                <w:szCs w:val="22"/>
              </w:rPr>
              <w:t>响应人</w:t>
            </w:r>
            <w:r>
              <w:rPr>
                <w:sz w:val="22"/>
                <w:szCs w:val="22"/>
              </w:rPr>
              <w:t>评审价－评审基准价)/评审基准价</w:t>
            </w:r>
          </w:p>
        </w:tc>
      </w:tr>
    </w:tbl>
    <w:p>
      <w:r>
        <w:br w:type="page"/>
      </w:r>
    </w:p>
    <w:tbl>
      <w:tblPr>
        <w:tblStyle w:val="61"/>
        <w:tblW w:w="1421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
        <w:gridCol w:w="675"/>
        <w:gridCol w:w="825"/>
        <w:gridCol w:w="960"/>
        <w:gridCol w:w="1380"/>
        <w:gridCol w:w="765"/>
        <w:gridCol w:w="8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5557" w:type="dxa"/>
            <w:gridSpan w:val="6"/>
            <w:tcBorders>
              <w:top w:val="single" w:color="auto" w:sz="4" w:space="0"/>
              <w:bottom w:val="single" w:color="auto" w:sz="4" w:space="0"/>
              <w:right w:val="single" w:color="auto" w:sz="4" w:space="0"/>
            </w:tcBorders>
            <w:vAlign w:val="center"/>
          </w:tcPr>
          <w:p>
            <w:pPr>
              <w:jc w:val="center"/>
              <w:rPr>
                <w:sz w:val="22"/>
                <w:szCs w:val="22"/>
              </w:rPr>
            </w:pPr>
            <w:r>
              <w:rPr>
                <w:sz w:val="22"/>
                <w:szCs w:val="22"/>
              </w:rPr>
              <w:t>评分因素与权重分值</w:t>
            </w:r>
          </w:p>
        </w:tc>
        <w:tc>
          <w:tcPr>
            <w:tcW w:w="8661" w:type="dxa"/>
            <w:tcBorders>
              <w:top w:val="single" w:color="auto" w:sz="4" w:space="0"/>
              <w:left w:val="single" w:color="auto" w:sz="4" w:space="0"/>
              <w:bottom w:val="single" w:color="auto" w:sz="4" w:space="0"/>
            </w:tcBorders>
            <w:vAlign w:val="center"/>
          </w:tcPr>
          <w:p>
            <w:pPr>
              <w:jc w:val="center"/>
              <w:rPr>
                <w:sz w:val="22"/>
                <w:szCs w:val="22"/>
              </w:rPr>
            </w:pPr>
            <w:r>
              <w:rPr>
                <w:sz w:val="22"/>
                <w:szCs w:val="22"/>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jc w:val="center"/>
        </w:trPr>
        <w:tc>
          <w:tcPr>
            <w:tcW w:w="952" w:type="dxa"/>
            <w:tcBorders>
              <w:top w:val="single" w:color="auto" w:sz="4" w:space="0"/>
              <w:right w:val="single" w:color="auto" w:sz="4" w:space="0"/>
            </w:tcBorders>
            <w:vAlign w:val="center"/>
          </w:tcPr>
          <w:p>
            <w:pPr>
              <w:jc w:val="center"/>
              <w:rPr>
                <w:sz w:val="22"/>
                <w:szCs w:val="22"/>
              </w:rPr>
            </w:pPr>
            <w:r>
              <w:rPr>
                <w:sz w:val="22"/>
                <w:szCs w:val="22"/>
              </w:rPr>
              <w:t>条款号</w:t>
            </w:r>
          </w:p>
        </w:tc>
        <w:tc>
          <w:tcPr>
            <w:tcW w:w="675" w:type="dxa"/>
            <w:tcBorders>
              <w:top w:val="single" w:color="auto" w:sz="4" w:space="0"/>
              <w:left w:val="single" w:color="auto" w:sz="4" w:space="0"/>
              <w:right w:val="single" w:color="auto" w:sz="4" w:space="0"/>
            </w:tcBorders>
            <w:vAlign w:val="center"/>
          </w:tcPr>
          <w:p>
            <w:pPr>
              <w:jc w:val="center"/>
              <w:rPr>
                <w:sz w:val="22"/>
                <w:szCs w:val="22"/>
              </w:rPr>
            </w:pPr>
            <w:r>
              <w:rPr>
                <w:rFonts w:hint="eastAsia"/>
                <w:sz w:val="22"/>
                <w:szCs w:val="22"/>
              </w:rPr>
              <w:t>评分类别</w:t>
            </w:r>
          </w:p>
        </w:tc>
        <w:tc>
          <w:tcPr>
            <w:tcW w:w="825" w:type="dxa"/>
            <w:tcBorders>
              <w:top w:val="single" w:color="auto" w:sz="4" w:space="0"/>
              <w:left w:val="single" w:color="auto" w:sz="4" w:space="0"/>
              <w:right w:val="single" w:color="auto" w:sz="4" w:space="0"/>
            </w:tcBorders>
            <w:vAlign w:val="center"/>
          </w:tcPr>
          <w:p>
            <w:pPr>
              <w:jc w:val="center"/>
              <w:rPr>
                <w:sz w:val="22"/>
                <w:szCs w:val="22"/>
              </w:rPr>
            </w:pPr>
            <w:r>
              <w:rPr>
                <w:sz w:val="22"/>
                <w:szCs w:val="22"/>
              </w:rPr>
              <w:t>评分因素</w:t>
            </w:r>
          </w:p>
        </w:tc>
        <w:tc>
          <w:tcPr>
            <w:tcW w:w="960" w:type="dxa"/>
            <w:tcBorders>
              <w:top w:val="single" w:color="auto" w:sz="4" w:space="0"/>
              <w:left w:val="single" w:color="auto" w:sz="4" w:space="0"/>
              <w:right w:val="single" w:color="auto" w:sz="4" w:space="0"/>
            </w:tcBorders>
            <w:vAlign w:val="center"/>
          </w:tcPr>
          <w:p>
            <w:pPr>
              <w:jc w:val="center"/>
              <w:rPr>
                <w:sz w:val="22"/>
                <w:szCs w:val="22"/>
              </w:rPr>
            </w:pPr>
            <w:r>
              <w:rPr>
                <w:sz w:val="22"/>
                <w:szCs w:val="22"/>
              </w:rPr>
              <w:t>评分因素权重分值</w:t>
            </w:r>
          </w:p>
        </w:tc>
        <w:tc>
          <w:tcPr>
            <w:tcW w:w="1380" w:type="dxa"/>
            <w:tcBorders>
              <w:top w:val="single" w:color="auto" w:sz="4" w:space="0"/>
              <w:left w:val="single" w:color="auto" w:sz="4" w:space="0"/>
              <w:right w:val="single" w:color="auto" w:sz="4" w:space="0"/>
            </w:tcBorders>
            <w:vAlign w:val="center"/>
          </w:tcPr>
          <w:p>
            <w:pPr>
              <w:jc w:val="center"/>
              <w:rPr>
                <w:sz w:val="22"/>
                <w:szCs w:val="22"/>
              </w:rPr>
            </w:pPr>
            <w:r>
              <w:rPr>
                <w:sz w:val="22"/>
                <w:szCs w:val="22"/>
              </w:rPr>
              <w:t>各评分因素细分项</w:t>
            </w:r>
          </w:p>
        </w:tc>
        <w:tc>
          <w:tcPr>
            <w:tcW w:w="765" w:type="dxa"/>
            <w:tcBorders>
              <w:top w:val="single" w:color="auto" w:sz="4" w:space="0"/>
              <w:left w:val="single" w:color="auto" w:sz="4" w:space="0"/>
              <w:right w:val="single" w:color="auto" w:sz="4" w:space="0"/>
            </w:tcBorders>
            <w:vAlign w:val="center"/>
          </w:tcPr>
          <w:p>
            <w:pPr>
              <w:jc w:val="center"/>
              <w:rPr>
                <w:sz w:val="22"/>
                <w:szCs w:val="22"/>
              </w:rPr>
            </w:pPr>
            <w:r>
              <w:rPr>
                <w:sz w:val="22"/>
                <w:szCs w:val="22"/>
              </w:rPr>
              <w:t>分值</w:t>
            </w:r>
          </w:p>
        </w:tc>
        <w:tc>
          <w:tcPr>
            <w:tcW w:w="8661" w:type="dxa"/>
            <w:tcBorders>
              <w:top w:val="single" w:color="auto" w:sz="4" w:space="0"/>
              <w:left w:val="single" w:color="auto" w:sz="4" w:space="0"/>
            </w:tcBorders>
            <w:vAlign w:val="center"/>
          </w:tcPr>
          <w:p>
            <w:pPr>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5" w:hRule="atLeast"/>
          <w:tblHeader/>
          <w:jc w:val="center"/>
        </w:trPr>
        <w:tc>
          <w:tcPr>
            <w:tcW w:w="952" w:type="dxa"/>
            <w:vMerge w:val="restart"/>
            <w:vAlign w:val="center"/>
          </w:tcPr>
          <w:p>
            <w:pPr>
              <w:jc w:val="center"/>
              <w:rPr>
                <w:sz w:val="22"/>
                <w:szCs w:val="22"/>
              </w:rPr>
            </w:pPr>
            <w:r>
              <w:rPr>
                <w:sz w:val="22"/>
                <w:szCs w:val="22"/>
              </w:rPr>
              <w:t>2.2.4(1)</w:t>
            </w:r>
          </w:p>
        </w:tc>
        <w:tc>
          <w:tcPr>
            <w:tcW w:w="675" w:type="dxa"/>
            <w:vMerge w:val="restart"/>
            <w:vAlign w:val="center"/>
          </w:tcPr>
          <w:p>
            <w:pPr>
              <w:jc w:val="center"/>
            </w:pPr>
            <w:r>
              <w:rPr>
                <w:rFonts w:hint="eastAsia"/>
              </w:rPr>
              <w:t>技</w:t>
            </w:r>
          </w:p>
          <w:p>
            <w:pPr>
              <w:jc w:val="center"/>
            </w:pPr>
            <w:r>
              <w:rPr>
                <w:rFonts w:hint="eastAsia"/>
              </w:rPr>
              <w:t>术</w:t>
            </w:r>
          </w:p>
          <w:p>
            <w:pPr>
              <w:pStyle w:val="2"/>
              <w:jc w:val="center"/>
            </w:pPr>
            <w:r>
              <w:rPr>
                <w:rFonts w:hint="eastAsia"/>
                <w:sz w:val="22"/>
                <w:szCs w:val="22"/>
              </w:rPr>
              <w:t>标</w:t>
            </w:r>
          </w:p>
        </w:tc>
        <w:tc>
          <w:tcPr>
            <w:tcW w:w="825" w:type="dxa"/>
            <w:vMerge w:val="restart"/>
            <w:vAlign w:val="center"/>
          </w:tcPr>
          <w:p>
            <w:pPr>
              <w:tabs>
                <w:tab w:val="left" w:pos="720"/>
              </w:tabs>
              <w:spacing w:line="360" w:lineRule="auto"/>
              <w:jc w:val="center"/>
              <w:rPr>
                <w:bCs/>
                <w:szCs w:val="21"/>
              </w:rPr>
            </w:pPr>
            <w:r>
              <w:rPr>
                <w:bCs/>
                <w:szCs w:val="21"/>
              </w:rPr>
              <w:t>企业情况</w:t>
            </w:r>
          </w:p>
          <w:p>
            <w:pPr>
              <w:rPr>
                <w:sz w:val="22"/>
                <w:szCs w:val="22"/>
              </w:rPr>
            </w:pPr>
          </w:p>
        </w:tc>
        <w:tc>
          <w:tcPr>
            <w:tcW w:w="960" w:type="dxa"/>
            <w:vMerge w:val="restart"/>
            <w:vAlign w:val="center"/>
          </w:tcPr>
          <w:p>
            <w:pPr>
              <w:jc w:val="center"/>
              <w:rPr>
                <w:sz w:val="22"/>
                <w:szCs w:val="22"/>
              </w:rPr>
            </w:pPr>
            <w:r>
              <w:rPr>
                <w:rFonts w:hint="eastAsia"/>
                <w:sz w:val="22"/>
                <w:szCs w:val="22"/>
                <w:u w:val="single"/>
              </w:rPr>
              <w:t>33</w:t>
            </w:r>
            <w:r>
              <w:rPr>
                <w:sz w:val="22"/>
                <w:szCs w:val="22"/>
              </w:rPr>
              <w:t>分</w:t>
            </w:r>
          </w:p>
        </w:tc>
        <w:tc>
          <w:tcPr>
            <w:tcW w:w="1380" w:type="dxa"/>
            <w:vAlign w:val="center"/>
          </w:tcPr>
          <w:p>
            <w:pPr>
              <w:spacing w:line="360" w:lineRule="auto"/>
              <w:jc w:val="center"/>
              <w:rPr>
                <w:sz w:val="22"/>
                <w:szCs w:val="22"/>
              </w:rPr>
            </w:pPr>
            <w:r>
              <w:rPr>
                <w:rFonts w:hint="eastAsia"/>
                <w:bCs/>
                <w:szCs w:val="21"/>
              </w:rPr>
              <w:t>政府相关部门合作情况</w:t>
            </w:r>
          </w:p>
        </w:tc>
        <w:tc>
          <w:tcPr>
            <w:tcW w:w="765" w:type="dxa"/>
            <w:vAlign w:val="center"/>
          </w:tcPr>
          <w:p>
            <w:pPr>
              <w:spacing w:line="360" w:lineRule="auto"/>
              <w:jc w:val="center"/>
              <w:rPr>
                <w:sz w:val="22"/>
                <w:szCs w:val="22"/>
              </w:rPr>
            </w:pPr>
            <w:r>
              <w:rPr>
                <w:rFonts w:hint="eastAsia"/>
                <w:sz w:val="22"/>
                <w:szCs w:val="22"/>
              </w:rPr>
              <w:t>3</w:t>
            </w:r>
            <w:r>
              <w:rPr>
                <w:sz w:val="22"/>
                <w:szCs w:val="22"/>
              </w:rPr>
              <w:t>分</w:t>
            </w:r>
          </w:p>
        </w:tc>
        <w:tc>
          <w:tcPr>
            <w:tcW w:w="8661" w:type="dxa"/>
            <w:vAlign w:val="center"/>
          </w:tcPr>
          <w:p>
            <w:pPr>
              <w:rPr>
                <w:sz w:val="22"/>
                <w:szCs w:val="21"/>
              </w:rPr>
            </w:pPr>
            <w:r>
              <w:rPr>
                <w:rFonts w:hint="eastAsia" w:eastAsiaTheme="minorEastAsia"/>
                <w:bCs/>
                <w:szCs w:val="21"/>
              </w:rPr>
              <w:t>2014年1月至今取得过市级及以上政府相关部门（仅限于审计、财政、招投标管理部门、国资监管）的造价咨询库内单位资格且在有效期内的得3分。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0" w:hRule="atLeast"/>
          <w:tblHeader/>
          <w:jc w:val="center"/>
        </w:trPr>
        <w:tc>
          <w:tcPr>
            <w:tcW w:w="952" w:type="dxa"/>
            <w:vMerge w:val="continue"/>
            <w:vAlign w:val="center"/>
          </w:tcPr>
          <w:p>
            <w:pPr>
              <w:jc w:val="center"/>
              <w:rPr>
                <w:sz w:val="22"/>
                <w:szCs w:val="22"/>
              </w:rPr>
            </w:pPr>
          </w:p>
        </w:tc>
        <w:tc>
          <w:tcPr>
            <w:tcW w:w="675" w:type="dxa"/>
            <w:vMerge w:val="continue"/>
            <w:vAlign w:val="center"/>
          </w:tcPr>
          <w:p>
            <w:pPr>
              <w:jc w:val="center"/>
              <w:rPr>
                <w:sz w:val="22"/>
                <w:szCs w:val="22"/>
              </w:rPr>
            </w:pPr>
          </w:p>
        </w:tc>
        <w:tc>
          <w:tcPr>
            <w:tcW w:w="825" w:type="dxa"/>
            <w:vMerge w:val="continue"/>
            <w:vAlign w:val="center"/>
          </w:tcPr>
          <w:p>
            <w:pPr>
              <w:jc w:val="center"/>
              <w:rPr>
                <w:sz w:val="22"/>
                <w:szCs w:val="22"/>
              </w:rPr>
            </w:pPr>
          </w:p>
        </w:tc>
        <w:tc>
          <w:tcPr>
            <w:tcW w:w="960" w:type="dxa"/>
            <w:vMerge w:val="continue"/>
            <w:vAlign w:val="center"/>
          </w:tcPr>
          <w:p>
            <w:pPr>
              <w:jc w:val="center"/>
              <w:rPr>
                <w:sz w:val="22"/>
                <w:szCs w:val="22"/>
                <w:u w:val="single"/>
              </w:rPr>
            </w:pPr>
          </w:p>
        </w:tc>
        <w:tc>
          <w:tcPr>
            <w:tcW w:w="1380" w:type="dxa"/>
            <w:vAlign w:val="center"/>
          </w:tcPr>
          <w:p>
            <w:pPr>
              <w:spacing w:line="360" w:lineRule="auto"/>
              <w:jc w:val="center"/>
              <w:rPr>
                <w:sz w:val="22"/>
                <w:szCs w:val="22"/>
              </w:rPr>
            </w:pPr>
            <w:r>
              <w:rPr>
                <w:bCs/>
                <w:szCs w:val="21"/>
              </w:rPr>
              <w:t>企业业绩</w:t>
            </w:r>
          </w:p>
        </w:tc>
        <w:tc>
          <w:tcPr>
            <w:tcW w:w="765" w:type="dxa"/>
            <w:vAlign w:val="center"/>
          </w:tcPr>
          <w:p>
            <w:pPr>
              <w:spacing w:line="360" w:lineRule="auto"/>
              <w:jc w:val="center"/>
              <w:rPr>
                <w:sz w:val="22"/>
                <w:szCs w:val="22"/>
              </w:rPr>
            </w:pPr>
            <w:r>
              <w:rPr>
                <w:rFonts w:hint="eastAsia"/>
                <w:sz w:val="22"/>
                <w:szCs w:val="22"/>
              </w:rPr>
              <w:t>20</w:t>
            </w:r>
            <w:r>
              <w:rPr>
                <w:sz w:val="22"/>
                <w:szCs w:val="22"/>
              </w:rPr>
              <w:t>分</w:t>
            </w:r>
          </w:p>
        </w:tc>
        <w:tc>
          <w:tcPr>
            <w:tcW w:w="8661" w:type="dxa"/>
            <w:vAlign w:val="center"/>
          </w:tcPr>
          <w:p>
            <w:pPr>
              <w:rPr>
                <w:bCs/>
                <w:szCs w:val="21"/>
              </w:rPr>
            </w:pPr>
            <w:r>
              <w:rPr>
                <w:bCs/>
                <w:szCs w:val="21"/>
              </w:rPr>
              <w:t>业绩一：近三年来具有类似业绩，每提供1个得</w:t>
            </w:r>
            <w:r>
              <w:rPr>
                <w:rFonts w:hint="eastAsia"/>
                <w:bCs/>
                <w:szCs w:val="21"/>
              </w:rPr>
              <w:t>2</w:t>
            </w:r>
            <w:r>
              <w:rPr>
                <w:bCs/>
                <w:szCs w:val="21"/>
              </w:rPr>
              <w:t>分，满分</w:t>
            </w:r>
            <w:r>
              <w:rPr>
                <w:rFonts w:hint="eastAsia"/>
                <w:bCs/>
                <w:szCs w:val="21"/>
              </w:rPr>
              <w:t>8</w:t>
            </w:r>
            <w:r>
              <w:rPr>
                <w:bCs/>
                <w:szCs w:val="21"/>
              </w:rPr>
              <w:t>分。</w:t>
            </w:r>
          </w:p>
          <w:p>
            <w:pPr>
              <w:rPr>
                <w:szCs w:val="21"/>
              </w:rPr>
            </w:pPr>
            <w:r>
              <w:rPr>
                <w:bCs/>
                <w:szCs w:val="21"/>
              </w:rPr>
              <w:t>业绩二：近三年以来与市级及以上政府</w:t>
            </w:r>
            <w:r>
              <w:rPr>
                <w:rFonts w:hint="eastAsia"/>
                <w:bCs/>
                <w:szCs w:val="21"/>
              </w:rPr>
              <w:t>相关</w:t>
            </w:r>
            <w:r>
              <w:rPr>
                <w:bCs/>
                <w:szCs w:val="21"/>
              </w:rPr>
              <w:t>部门</w:t>
            </w:r>
            <w:r>
              <w:rPr>
                <w:rFonts w:hint="eastAsia" w:eastAsiaTheme="minorEastAsia"/>
                <w:bCs/>
                <w:szCs w:val="21"/>
              </w:rPr>
              <w:t>（仅限于审计、财政、招投标管理部门、国资监管）</w:t>
            </w:r>
            <w:r>
              <w:rPr>
                <w:rFonts w:hint="eastAsia"/>
                <w:bCs/>
                <w:szCs w:val="21"/>
              </w:rPr>
              <w:t>或</w:t>
            </w:r>
            <w:r>
              <w:rPr>
                <w:bCs/>
                <w:szCs w:val="21"/>
              </w:rPr>
              <w:t>安徽省省属国有企业</w:t>
            </w:r>
            <w:r>
              <w:rPr>
                <w:rFonts w:hint="eastAsia"/>
                <w:bCs/>
                <w:szCs w:val="21"/>
              </w:rPr>
              <w:t>（</w:t>
            </w:r>
            <w:r>
              <w:rPr>
                <w:bCs/>
                <w:szCs w:val="21"/>
              </w:rPr>
              <w:t>以安徽省省国资委网站</w:t>
            </w:r>
            <w:r>
              <w:rPr>
                <w:bCs/>
                <w:szCs w:val="21"/>
                <w:u w:val="single"/>
              </w:rPr>
              <w:t>http://www.ahgzw.gov.cn/</w:t>
            </w:r>
            <w:r>
              <w:rPr>
                <w:bCs/>
                <w:szCs w:val="21"/>
              </w:rPr>
              <w:t>首页中的子目录---企业名录中查询的的企业名单为准</w:t>
            </w:r>
            <w:r>
              <w:rPr>
                <w:rFonts w:hint="eastAsia"/>
                <w:bCs/>
                <w:szCs w:val="21"/>
              </w:rPr>
              <w:t>）</w:t>
            </w:r>
            <w:r>
              <w:rPr>
                <w:bCs/>
                <w:szCs w:val="21"/>
              </w:rPr>
              <w:t>有造价咨询类合作类似业绩，每提供1个得</w:t>
            </w:r>
            <w:r>
              <w:rPr>
                <w:rFonts w:hint="eastAsia"/>
                <w:bCs/>
                <w:szCs w:val="21"/>
              </w:rPr>
              <w:t>4</w:t>
            </w:r>
            <w:r>
              <w:rPr>
                <w:bCs/>
                <w:szCs w:val="21"/>
              </w:rPr>
              <w:t>分，满分</w:t>
            </w:r>
            <w:r>
              <w:rPr>
                <w:rFonts w:hint="eastAsia"/>
                <w:bCs/>
                <w:szCs w:val="21"/>
              </w:rPr>
              <w:t>12</w:t>
            </w:r>
            <w:r>
              <w:rPr>
                <w:bCs/>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tblHeader/>
          <w:jc w:val="center"/>
        </w:trPr>
        <w:tc>
          <w:tcPr>
            <w:tcW w:w="952" w:type="dxa"/>
            <w:vMerge w:val="continue"/>
            <w:vAlign w:val="center"/>
          </w:tcPr>
          <w:p/>
        </w:tc>
        <w:tc>
          <w:tcPr>
            <w:tcW w:w="675" w:type="dxa"/>
            <w:vMerge w:val="continue"/>
            <w:vAlign w:val="center"/>
          </w:tcPr>
          <w:p/>
        </w:tc>
        <w:tc>
          <w:tcPr>
            <w:tcW w:w="825" w:type="dxa"/>
            <w:vMerge w:val="continue"/>
            <w:vAlign w:val="center"/>
          </w:tcPr>
          <w:p/>
        </w:tc>
        <w:tc>
          <w:tcPr>
            <w:tcW w:w="960" w:type="dxa"/>
            <w:vMerge w:val="continue"/>
            <w:vAlign w:val="center"/>
          </w:tcPr>
          <w:p/>
        </w:tc>
        <w:tc>
          <w:tcPr>
            <w:tcW w:w="1380" w:type="dxa"/>
            <w:vAlign w:val="center"/>
          </w:tcPr>
          <w:p>
            <w:pPr>
              <w:rPr>
                <w:bCs/>
                <w:szCs w:val="21"/>
              </w:rPr>
            </w:pPr>
            <w:r>
              <w:rPr>
                <w:bCs/>
                <w:szCs w:val="21"/>
              </w:rPr>
              <w:t xml:space="preserve">企业荣誉   </w:t>
            </w:r>
            <w:r>
              <w:rPr>
                <w:rFonts w:hint="eastAsia"/>
                <w:bCs/>
                <w:szCs w:val="21"/>
              </w:rPr>
              <w:t xml:space="preserve">    </w:t>
            </w:r>
            <w:r>
              <w:rPr>
                <w:bCs/>
                <w:szCs w:val="21"/>
              </w:rPr>
              <w:t xml:space="preserve">  </w:t>
            </w:r>
          </w:p>
        </w:tc>
        <w:tc>
          <w:tcPr>
            <w:tcW w:w="765" w:type="dxa"/>
            <w:vAlign w:val="center"/>
          </w:tcPr>
          <w:p>
            <w:pPr>
              <w:jc w:val="center"/>
              <w:rPr>
                <w:bCs/>
                <w:szCs w:val="21"/>
              </w:rPr>
            </w:pPr>
            <w:r>
              <w:rPr>
                <w:rFonts w:hint="eastAsia"/>
                <w:bCs/>
                <w:szCs w:val="21"/>
              </w:rPr>
              <w:t>10</w:t>
            </w:r>
          </w:p>
        </w:tc>
        <w:tc>
          <w:tcPr>
            <w:tcW w:w="8661" w:type="dxa"/>
            <w:vAlign w:val="center"/>
          </w:tcPr>
          <w:p>
            <w:pPr>
              <w:rPr>
                <w:bCs/>
                <w:szCs w:val="21"/>
              </w:rPr>
            </w:pPr>
            <w:r>
              <w:rPr>
                <w:bCs/>
                <w:szCs w:val="21"/>
              </w:rPr>
              <w:t>近三年以来，获得</w:t>
            </w:r>
            <w:r>
              <w:rPr>
                <w:rFonts w:hint="eastAsia"/>
                <w:bCs/>
                <w:szCs w:val="21"/>
              </w:rPr>
              <w:t>过</w:t>
            </w:r>
            <w:r>
              <w:rPr>
                <w:bCs/>
                <w:szCs w:val="21"/>
              </w:rPr>
              <w:t>造价咨询类市级</w:t>
            </w:r>
            <w:r>
              <w:rPr>
                <w:rFonts w:hint="eastAsia"/>
                <w:bCs/>
                <w:szCs w:val="21"/>
              </w:rPr>
              <w:t>及市级以上级</w:t>
            </w:r>
            <w:r>
              <w:rPr>
                <w:bCs/>
                <w:szCs w:val="21"/>
              </w:rPr>
              <w:t>表彰（仅限市级</w:t>
            </w:r>
            <w:r>
              <w:rPr>
                <w:rFonts w:hint="eastAsia"/>
                <w:bCs/>
                <w:szCs w:val="21"/>
              </w:rPr>
              <w:t>及市级以上政府相关部门【仅限于审计、财政、招投标管理部门、国资监管】</w:t>
            </w:r>
            <w:r>
              <w:rPr>
                <w:bCs/>
                <w:szCs w:val="21"/>
              </w:rPr>
              <w:t>或市级</w:t>
            </w:r>
            <w:r>
              <w:rPr>
                <w:rFonts w:hint="eastAsia"/>
                <w:bCs/>
                <w:szCs w:val="21"/>
              </w:rPr>
              <w:t>及市级以上</w:t>
            </w:r>
            <w:r>
              <w:rPr>
                <w:bCs/>
                <w:szCs w:val="21"/>
              </w:rPr>
              <w:t>建设工程造价管理协会）的每提供1个得2分</w:t>
            </w:r>
            <w:r>
              <w:rPr>
                <w:rFonts w:hint="eastAsia"/>
                <w:bCs/>
                <w:szCs w:val="21"/>
              </w:rPr>
              <w:t>，满分10分；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jc w:val="center"/>
        </w:trPr>
        <w:tc>
          <w:tcPr>
            <w:tcW w:w="952" w:type="dxa"/>
            <w:vMerge w:val="restart"/>
            <w:vAlign w:val="center"/>
          </w:tcPr>
          <w:p>
            <w:pPr>
              <w:pStyle w:val="2"/>
              <w:rPr>
                <w:sz w:val="22"/>
                <w:szCs w:val="22"/>
              </w:rPr>
            </w:pPr>
          </w:p>
          <w:p>
            <w:pPr>
              <w:pStyle w:val="2"/>
              <w:rPr>
                <w:sz w:val="22"/>
                <w:szCs w:val="22"/>
              </w:rPr>
            </w:pPr>
          </w:p>
          <w:p>
            <w:pPr>
              <w:pStyle w:val="2"/>
              <w:rPr>
                <w:sz w:val="22"/>
                <w:szCs w:val="22"/>
              </w:rPr>
            </w:pPr>
          </w:p>
          <w:p>
            <w:pPr>
              <w:jc w:val="center"/>
            </w:pPr>
            <w:r>
              <w:t>2.2.4(</w:t>
            </w:r>
            <w:r>
              <w:rPr>
                <w:rFonts w:hint="eastAsia"/>
              </w:rPr>
              <w:t>2</w:t>
            </w:r>
            <w:r>
              <w:t>)</w:t>
            </w:r>
          </w:p>
          <w:p>
            <w:pPr>
              <w:pStyle w:val="2"/>
              <w:rPr>
                <w:sz w:val="22"/>
                <w:szCs w:val="22"/>
              </w:rPr>
            </w:pPr>
          </w:p>
          <w:p>
            <w:pPr>
              <w:pStyle w:val="2"/>
              <w:rPr>
                <w:sz w:val="22"/>
                <w:szCs w:val="22"/>
              </w:rPr>
            </w:pPr>
          </w:p>
          <w:p>
            <w:pPr>
              <w:pStyle w:val="2"/>
              <w:rPr>
                <w:sz w:val="22"/>
                <w:szCs w:val="22"/>
              </w:rPr>
            </w:pPr>
          </w:p>
          <w:p>
            <w:pPr>
              <w:pStyle w:val="2"/>
              <w:rPr>
                <w:sz w:val="22"/>
                <w:szCs w:val="22"/>
              </w:rPr>
            </w:pPr>
          </w:p>
          <w:p>
            <w:pPr>
              <w:pStyle w:val="2"/>
              <w:rPr>
                <w:sz w:val="22"/>
                <w:szCs w:val="22"/>
              </w:rPr>
            </w:pPr>
          </w:p>
        </w:tc>
        <w:tc>
          <w:tcPr>
            <w:tcW w:w="675" w:type="dxa"/>
            <w:vMerge w:val="continue"/>
            <w:vAlign w:val="center"/>
          </w:tcPr>
          <w:p>
            <w:pPr>
              <w:jc w:val="center"/>
              <w:rPr>
                <w:bCs/>
                <w:szCs w:val="21"/>
              </w:rPr>
            </w:pPr>
          </w:p>
        </w:tc>
        <w:tc>
          <w:tcPr>
            <w:tcW w:w="825" w:type="dxa"/>
            <w:vMerge w:val="restart"/>
            <w:vAlign w:val="center"/>
          </w:tcPr>
          <w:p>
            <w:pPr>
              <w:jc w:val="center"/>
              <w:rPr>
                <w:sz w:val="22"/>
                <w:szCs w:val="22"/>
              </w:rPr>
            </w:pPr>
            <w:r>
              <w:rPr>
                <w:rFonts w:hint="eastAsia"/>
                <w:bCs/>
                <w:szCs w:val="21"/>
              </w:rPr>
              <w:t>拟派团队</w:t>
            </w:r>
            <w:r>
              <w:rPr>
                <w:bCs/>
                <w:szCs w:val="21"/>
              </w:rPr>
              <w:t>情况</w:t>
            </w:r>
          </w:p>
        </w:tc>
        <w:tc>
          <w:tcPr>
            <w:tcW w:w="960" w:type="dxa"/>
            <w:vMerge w:val="restart"/>
            <w:vAlign w:val="center"/>
          </w:tcPr>
          <w:p>
            <w:pPr>
              <w:jc w:val="center"/>
              <w:rPr>
                <w:sz w:val="22"/>
                <w:szCs w:val="22"/>
                <w:u w:val="single"/>
              </w:rPr>
            </w:pPr>
            <w:r>
              <w:rPr>
                <w:rFonts w:hint="eastAsia"/>
                <w:sz w:val="22"/>
                <w:szCs w:val="22"/>
                <w:u w:val="single"/>
              </w:rPr>
              <w:t>32</w:t>
            </w:r>
            <w:r>
              <w:rPr>
                <w:sz w:val="22"/>
                <w:szCs w:val="22"/>
              </w:rPr>
              <w:t>分</w:t>
            </w:r>
          </w:p>
        </w:tc>
        <w:tc>
          <w:tcPr>
            <w:tcW w:w="1380" w:type="dxa"/>
            <w:vAlign w:val="center"/>
          </w:tcPr>
          <w:p>
            <w:pPr>
              <w:jc w:val="center"/>
              <w:rPr>
                <w:sz w:val="22"/>
                <w:szCs w:val="22"/>
              </w:rPr>
            </w:pPr>
            <w:r>
              <w:rPr>
                <w:rFonts w:hint="eastAsia"/>
                <w:bCs/>
                <w:szCs w:val="21"/>
              </w:rPr>
              <w:t>项目</w:t>
            </w:r>
            <w:r>
              <w:rPr>
                <w:bCs/>
                <w:szCs w:val="21"/>
              </w:rPr>
              <w:t>负责</w:t>
            </w:r>
            <w:r>
              <w:rPr>
                <w:rFonts w:hint="eastAsia"/>
                <w:bCs/>
                <w:szCs w:val="21"/>
              </w:rPr>
              <w:t>人技术职称</w:t>
            </w:r>
            <w:r>
              <w:rPr>
                <w:bCs/>
                <w:szCs w:val="21"/>
              </w:rPr>
              <w:t xml:space="preserve"> </w:t>
            </w:r>
          </w:p>
        </w:tc>
        <w:tc>
          <w:tcPr>
            <w:tcW w:w="765" w:type="dxa"/>
            <w:vAlign w:val="center"/>
          </w:tcPr>
          <w:p>
            <w:pPr>
              <w:jc w:val="center"/>
              <w:rPr>
                <w:color w:val="FF0000"/>
              </w:rPr>
            </w:pPr>
            <w:r>
              <w:rPr>
                <w:rFonts w:hint="eastAsia"/>
                <w:color w:val="000000" w:themeColor="text1"/>
                <w:sz w:val="22"/>
                <w:szCs w:val="22"/>
                <w14:textFill>
                  <w14:solidFill>
                    <w14:schemeClr w14:val="tx1"/>
                  </w14:solidFill>
                </w14:textFill>
              </w:rPr>
              <w:t>2</w:t>
            </w:r>
            <w:r>
              <w:rPr>
                <w:color w:val="000000" w:themeColor="text1"/>
                <w:sz w:val="22"/>
                <w:szCs w:val="22"/>
                <w14:textFill>
                  <w14:solidFill>
                    <w14:schemeClr w14:val="tx1"/>
                  </w14:solidFill>
                </w14:textFill>
              </w:rPr>
              <w:t>分</w:t>
            </w:r>
          </w:p>
        </w:tc>
        <w:tc>
          <w:tcPr>
            <w:tcW w:w="8661" w:type="dxa"/>
            <w:vAlign w:val="center"/>
          </w:tcPr>
          <w:p>
            <w:pPr>
              <w:rPr>
                <w:sz w:val="22"/>
                <w:szCs w:val="22"/>
              </w:rPr>
            </w:pPr>
            <w:r>
              <w:rPr>
                <w:rFonts w:hint="eastAsia"/>
                <w:bCs/>
                <w:szCs w:val="21"/>
              </w:rPr>
              <w:t>项目</w:t>
            </w:r>
            <w:r>
              <w:rPr>
                <w:bCs/>
                <w:szCs w:val="21"/>
              </w:rPr>
              <w:t>负责人具有高级工程师</w:t>
            </w:r>
            <w:r>
              <w:rPr>
                <w:rFonts w:hint="eastAsia"/>
                <w:bCs/>
                <w:szCs w:val="21"/>
              </w:rPr>
              <w:t>职称</w:t>
            </w:r>
            <w:r>
              <w:rPr>
                <w:bCs/>
                <w:szCs w:val="21"/>
              </w:rPr>
              <w:t>，每提供1个得2分，满分</w:t>
            </w:r>
            <w:r>
              <w:rPr>
                <w:rFonts w:hint="eastAsia"/>
                <w:bCs/>
                <w:szCs w:val="21"/>
              </w:rPr>
              <w:t>2</w:t>
            </w:r>
            <w:r>
              <w:rPr>
                <w:bCs/>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3" w:hRule="atLeast"/>
          <w:tblHeader/>
          <w:jc w:val="center"/>
        </w:trPr>
        <w:tc>
          <w:tcPr>
            <w:tcW w:w="952" w:type="dxa"/>
            <w:vMerge w:val="continue"/>
            <w:vAlign w:val="center"/>
          </w:tcPr>
          <w:p>
            <w:pPr>
              <w:jc w:val="center"/>
              <w:rPr>
                <w:sz w:val="22"/>
                <w:szCs w:val="22"/>
              </w:rPr>
            </w:pPr>
          </w:p>
        </w:tc>
        <w:tc>
          <w:tcPr>
            <w:tcW w:w="675" w:type="dxa"/>
            <w:vMerge w:val="continue"/>
            <w:vAlign w:val="center"/>
          </w:tcPr>
          <w:p>
            <w:pPr>
              <w:jc w:val="center"/>
              <w:rPr>
                <w:sz w:val="22"/>
                <w:szCs w:val="22"/>
              </w:rPr>
            </w:pPr>
          </w:p>
        </w:tc>
        <w:tc>
          <w:tcPr>
            <w:tcW w:w="825" w:type="dxa"/>
            <w:vMerge w:val="continue"/>
            <w:vAlign w:val="center"/>
          </w:tcPr>
          <w:p>
            <w:pPr>
              <w:jc w:val="center"/>
              <w:rPr>
                <w:sz w:val="22"/>
                <w:szCs w:val="22"/>
              </w:rPr>
            </w:pPr>
          </w:p>
        </w:tc>
        <w:tc>
          <w:tcPr>
            <w:tcW w:w="960" w:type="dxa"/>
            <w:vMerge w:val="continue"/>
            <w:vAlign w:val="center"/>
          </w:tcPr>
          <w:p>
            <w:pPr>
              <w:jc w:val="center"/>
              <w:rPr>
                <w:sz w:val="22"/>
                <w:szCs w:val="22"/>
                <w:u w:val="single"/>
              </w:rPr>
            </w:pPr>
          </w:p>
        </w:tc>
        <w:tc>
          <w:tcPr>
            <w:tcW w:w="1380" w:type="dxa"/>
            <w:vAlign w:val="center"/>
          </w:tcPr>
          <w:p>
            <w:pPr>
              <w:jc w:val="center"/>
              <w:rPr>
                <w:sz w:val="22"/>
                <w:szCs w:val="22"/>
              </w:rPr>
            </w:pPr>
            <w:r>
              <w:rPr>
                <w:rFonts w:hint="eastAsia"/>
                <w:bCs/>
                <w:szCs w:val="21"/>
              </w:rPr>
              <w:t>项目</w:t>
            </w:r>
            <w:r>
              <w:rPr>
                <w:bCs/>
                <w:szCs w:val="21"/>
              </w:rPr>
              <w:t>负责人业绩</w:t>
            </w:r>
          </w:p>
        </w:tc>
        <w:tc>
          <w:tcPr>
            <w:tcW w:w="765" w:type="dxa"/>
            <w:vAlign w:val="center"/>
          </w:tcPr>
          <w:p>
            <w:pPr>
              <w:spacing w:line="360" w:lineRule="auto"/>
              <w:jc w:val="center"/>
            </w:pPr>
            <w:r>
              <w:rPr>
                <w:rFonts w:hint="eastAsia"/>
                <w:color w:val="000000" w:themeColor="text1"/>
                <w:sz w:val="22"/>
                <w:szCs w:val="22"/>
                <w14:textFill>
                  <w14:solidFill>
                    <w14:schemeClr w14:val="tx1"/>
                  </w14:solidFill>
                </w14:textFill>
              </w:rPr>
              <w:t>22</w:t>
            </w:r>
            <w:r>
              <w:rPr>
                <w:sz w:val="22"/>
                <w:szCs w:val="22"/>
              </w:rPr>
              <w:t>分</w:t>
            </w:r>
          </w:p>
        </w:tc>
        <w:tc>
          <w:tcPr>
            <w:tcW w:w="8661" w:type="dxa"/>
            <w:vAlign w:val="center"/>
          </w:tcPr>
          <w:p>
            <w:pPr>
              <w:rPr>
                <w:bCs/>
                <w:szCs w:val="21"/>
              </w:rPr>
            </w:pPr>
            <w:r>
              <w:rPr>
                <w:bCs/>
                <w:szCs w:val="21"/>
              </w:rPr>
              <w:t>业绩一：近三年来在类似业绩中担任过项目负责人</w:t>
            </w:r>
            <w:r>
              <w:rPr>
                <w:rFonts w:hint="eastAsia"/>
                <w:bCs/>
                <w:szCs w:val="21"/>
              </w:rPr>
              <w:t>,</w:t>
            </w:r>
            <w:r>
              <w:rPr>
                <w:bCs/>
                <w:szCs w:val="21"/>
              </w:rPr>
              <w:t>每提供1个得</w:t>
            </w:r>
            <w:r>
              <w:rPr>
                <w:rFonts w:hint="eastAsia"/>
                <w:bCs/>
                <w:szCs w:val="21"/>
              </w:rPr>
              <w:t>3</w:t>
            </w:r>
            <w:r>
              <w:rPr>
                <w:bCs/>
                <w:szCs w:val="21"/>
              </w:rPr>
              <w:t>分，满分</w:t>
            </w:r>
            <w:r>
              <w:rPr>
                <w:rFonts w:hint="eastAsia"/>
                <w:bCs/>
                <w:szCs w:val="21"/>
              </w:rPr>
              <w:t>6</w:t>
            </w:r>
            <w:r>
              <w:rPr>
                <w:bCs/>
                <w:szCs w:val="21"/>
              </w:rPr>
              <w:t>分。</w:t>
            </w:r>
          </w:p>
          <w:p>
            <w:pPr>
              <w:rPr>
                <w:sz w:val="22"/>
                <w:szCs w:val="22"/>
              </w:rPr>
            </w:pPr>
            <w:r>
              <w:rPr>
                <w:bCs/>
                <w:szCs w:val="21"/>
              </w:rPr>
              <w:t>业绩二：近三年在市级及以上政府相关部门</w:t>
            </w:r>
            <w:r>
              <w:rPr>
                <w:rFonts w:hint="eastAsia"/>
                <w:bCs/>
                <w:szCs w:val="21"/>
              </w:rPr>
              <w:t>（</w:t>
            </w:r>
            <w:r>
              <w:rPr>
                <w:rFonts w:hint="eastAsia" w:eastAsiaTheme="minorEastAsia"/>
                <w:bCs/>
                <w:szCs w:val="21"/>
              </w:rPr>
              <w:t>仅限于审计、财政、招投标管理部门、国资监管</w:t>
            </w:r>
            <w:r>
              <w:rPr>
                <w:rFonts w:hint="eastAsia"/>
                <w:bCs/>
                <w:szCs w:val="21"/>
              </w:rPr>
              <w:t>）或</w:t>
            </w:r>
            <w:r>
              <w:rPr>
                <w:bCs/>
                <w:szCs w:val="21"/>
              </w:rPr>
              <w:t>安徽省省属国有企业（以安徽省省国资委网站http://www.ahgzw.gov.cn/首页中的子目录---企业名录中查询的的企业名单为准</w:t>
            </w:r>
            <w:r>
              <w:rPr>
                <w:rFonts w:hint="eastAsia"/>
                <w:bCs/>
                <w:szCs w:val="21"/>
              </w:rPr>
              <w:t>）</w:t>
            </w:r>
            <w:r>
              <w:rPr>
                <w:bCs/>
                <w:szCs w:val="21"/>
              </w:rPr>
              <w:t xml:space="preserve"> 造价咨询类似业绩中担任过</w:t>
            </w:r>
            <w:r>
              <w:rPr>
                <w:rFonts w:hint="eastAsia"/>
                <w:bCs/>
                <w:szCs w:val="21"/>
              </w:rPr>
              <w:t>项目</w:t>
            </w:r>
            <w:r>
              <w:rPr>
                <w:bCs/>
                <w:szCs w:val="21"/>
              </w:rPr>
              <w:t>负责人，每提供1个得</w:t>
            </w:r>
            <w:r>
              <w:rPr>
                <w:rFonts w:hint="eastAsia"/>
                <w:bCs/>
                <w:szCs w:val="21"/>
              </w:rPr>
              <w:t>4</w:t>
            </w:r>
            <w:r>
              <w:rPr>
                <w:bCs/>
                <w:szCs w:val="21"/>
              </w:rPr>
              <w:t>分，满分</w:t>
            </w:r>
            <w:r>
              <w:rPr>
                <w:rFonts w:hint="eastAsia"/>
                <w:bCs/>
                <w:szCs w:val="21"/>
              </w:rPr>
              <w:t>16</w:t>
            </w:r>
            <w:r>
              <w:rPr>
                <w:bCs/>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5" w:hRule="atLeast"/>
          <w:tblHeader/>
          <w:jc w:val="center"/>
        </w:trPr>
        <w:tc>
          <w:tcPr>
            <w:tcW w:w="952" w:type="dxa"/>
            <w:vMerge w:val="continue"/>
            <w:vAlign w:val="center"/>
          </w:tcPr>
          <w:p>
            <w:pPr>
              <w:jc w:val="center"/>
              <w:rPr>
                <w:sz w:val="22"/>
                <w:szCs w:val="22"/>
              </w:rPr>
            </w:pPr>
          </w:p>
        </w:tc>
        <w:tc>
          <w:tcPr>
            <w:tcW w:w="675" w:type="dxa"/>
            <w:vMerge w:val="continue"/>
            <w:vAlign w:val="center"/>
          </w:tcPr>
          <w:p>
            <w:pPr>
              <w:jc w:val="center"/>
              <w:rPr>
                <w:sz w:val="22"/>
                <w:szCs w:val="22"/>
              </w:rPr>
            </w:pPr>
          </w:p>
        </w:tc>
        <w:tc>
          <w:tcPr>
            <w:tcW w:w="825" w:type="dxa"/>
            <w:vMerge w:val="continue"/>
            <w:vAlign w:val="center"/>
          </w:tcPr>
          <w:p>
            <w:pPr>
              <w:jc w:val="center"/>
              <w:rPr>
                <w:sz w:val="22"/>
                <w:szCs w:val="22"/>
              </w:rPr>
            </w:pPr>
          </w:p>
        </w:tc>
        <w:tc>
          <w:tcPr>
            <w:tcW w:w="960" w:type="dxa"/>
            <w:vMerge w:val="continue"/>
            <w:vAlign w:val="center"/>
          </w:tcPr>
          <w:p>
            <w:pPr>
              <w:jc w:val="center"/>
              <w:rPr>
                <w:sz w:val="22"/>
                <w:szCs w:val="22"/>
                <w:u w:val="single"/>
              </w:rPr>
            </w:pPr>
          </w:p>
        </w:tc>
        <w:tc>
          <w:tcPr>
            <w:tcW w:w="1380" w:type="dxa"/>
            <w:vAlign w:val="center"/>
          </w:tcPr>
          <w:p>
            <w:pPr>
              <w:spacing w:line="360" w:lineRule="auto"/>
              <w:jc w:val="center"/>
              <w:rPr>
                <w:sz w:val="22"/>
                <w:szCs w:val="22"/>
              </w:rPr>
            </w:pPr>
            <w:r>
              <w:rPr>
                <w:rFonts w:hint="eastAsia"/>
                <w:bCs/>
                <w:szCs w:val="21"/>
              </w:rPr>
              <w:t>项目</w:t>
            </w:r>
            <w:r>
              <w:rPr>
                <w:bCs/>
                <w:szCs w:val="21"/>
              </w:rPr>
              <w:t xml:space="preserve">团队其他人员 </w:t>
            </w:r>
          </w:p>
        </w:tc>
        <w:tc>
          <w:tcPr>
            <w:tcW w:w="765" w:type="dxa"/>
            <w:vAlign w:val="center"/>
          </w:tcPr>
          <w:p>
            <w:pPr>
              <w:spacing w:line="360" w:lineRule="auto"/>
              <w:jc w:val="center"/>
            </w:pPr>
            <w:r>
              <w:rPr>
                <w:rFonts w:hint="eastAsia"/>
                <w:sz w:val="22"/>
                <w:szCs w:val="22"/>
              </w:rPr>
              <w:t>8</w:t>
            </w:r>
            <w:r>
              <w:rPr>
                <w:sz w:val="22"/>
                <w:szCs w:val="22"/>
              </w:rPr>
              <w:t>分</w:t>
            </w:r>
          </w:p>
        </w:tc>
        <w:tc>
          <w:tcPr>
            <w:tcW w:w="8661" w:type="dxa"/>
            <w:vAlign w:val="center"/>
          </w:tcPr>
          <w:p>
            <w:pPr>
              <w:rPr>
                <w:bCs/>
                <w:szCs w:val="21"/>
              </w:rPr>
            </w:pPr>
            <w:r>
              <w:rPr>
                <w:rFonts w:hint="eastAsia"/>
                <w:bCs/>
                <w:szCs w:val="21"/>
              </w:rPr>
              <w:t>团队其他人员中具备建设部土建专业注册造价工程师资格的，每提供</w:t>
            </w:r>
            <w:r>
              <w:rPr>
                <w:bCs/>
                <w:szCs w:val="21"/>
              </w:rPr>
              <w:t>1</w:t>
            </w:r>
            <w:r>
              <w:rPr>
                <w:rFonts w:hint="eastAsia"/>
                <w:bCs/>
                <w:szCs w:val="21"/>
              </w:rPr>
              <w:t>个得2分，满分4分；</w:t>
            </w:r>
          </w:p>
          <w:p>
            <w:pPr>
              <w:rPr>
                <w:sz w:val="22"/>
                <w:szCs w:val="22"/>
              </w:rPr>
            </w:pPr>
            <w:r>
              <w:rPr>
                <w:rFonts w:hint="eastAsia"/>
                <w:bCs/>
                <w:szCs w:val="21"/>
              </w:rPr>
              <w:t>团队其他人员中</w:t>
            </w:r>
            <w:r>
              <w:rPr>
                <w:bCs/>
                <w:szCs w:val="21"/>
              </w:rPr>
              <w:t>具备建设部安装专业注册造价</w:t>
            </w:r>
            <w:r>
              <w:rPr>
                <w:rFonts w:hint="eastAsia"/>
                <w:bCs/>
                <w:szCs w:val="21"/>
              </w:rPr>
              <w:t>工程</w:t>
            </w:r>
            <w:r>
              <w:rPr>
                <w:bCs/>
                <w:szCs w:val="21"/>
              </w:rPr>
              <w:t>师资格</w:t>
            </w:r>
            <w:r>
              <w:rPr>
                <w:rFonts w:hint="eastAsia"/>
                <w:bCs/>
                <w:szCs w:val="21"/>
              </w:rPr>
              <w:t>的</w:t>
            </w:r>
            <w:r>
              <w:rPr>
                <w:bCs/>
                <w:szCs w:val="21"/>
              </w:rPr>
              <w:t>，每提供1个得</w:t>
            </w:r>
            <w:r>
              <w:rPr>
                <w:rFonts w:hint="eastAsia"/>
                <w:bCs/>
                <w:szCs w:val="21"/>
              </w:rPr>
              <w:t>2</w:t>
            </w:r>
            <w:r>
              <w:rPr>
                <w:bCs/>
                <w:szCs w:val="21"/>
              </w:rPr>
              <w:t>分，满分</w:t>
            </w:r>
            <w:r>
              <w:rPr>
                <w:rFonts w:hint="eastAsia"/>
                <w:bCs/>
                <w:szCs w:val="21"/>
              </w:rPr>
              <w:t>4</w:t>
            </w:r>
            <w:r>
              <w:rPr>
                <w:bCs/>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tblHeader/>
          <w:jc w:val="center"/>
        </w:trPr>
        <w:tc>
          <w:tcPr>
            <w:tcW w:w="952" w:type="dxa"/>
            <w:vAlign w:val="center"/>
          </w:tcPr>
          <w:p>
            <w:pPr>
              <w:jc w:val="center"/>
              <w:rPr>
                <w:sz w:val="22"/>
                <w:szCs w:val="22"/>
              </w:rPr>
            </w:pPr>
            <w:r>
              <w:rPr>
                <w:rFonts w:hint="eastAsia"/>
                <w:sz w:val="22"/>
                <w:szCs w:val="22"/>
              </w:rPr>
              <w:t>2.2.4(3)</w:t>
            </w:r>
          </w:p>
        </w:tc>
        <w:tc>
          <w:tcPr>
            <w:tcW w:w="675" w:type="dxa"/>
            <w:vMerge w:val="continue"/>
            <w:vAlign w:val="center"/>
          </w:tcPr>
          <w:p>
            <w:pPr>
              <w:jc w:val="center"/>
              <w:rPr>
                <w:sz w:val="22"/>
                <w:szCs w:val="22"/>
              </w:rPr>
            </w:pPr>
          </w:p>
        </w:tc>
        <w:tc>
          <w:tcPr>
            <w:tcW w:w="825" w:type="dxa"/>
            <w:vAlign w:val="center"/>
          </w:tcPr>
          <w:p>
            <w:pPr>
              <w:jc w:val="center"/>
              <w:rPr>
                <w:sz w:val="22"/>
                <w:szCs w:val="22"/>
              </w:rPr>
            </w:pPr>
            <w:r>
              <w:rPr>
                <w:bCs/>
                <w:szCs w:val="21"/>
              </w:rPr>
              <w:t>造价咨询服务方案</w:t>
            </w:r>
          </w:p>
        </w:tc>
        <w:tc>
          <w:tcPr>
            <w:tcW w:w="960" w:type="dxa"/>
            <w:vAlign w:val="center"/>
          </w:tcPr>
          <w:p>
            <w:pPr>
              <w:jc w:val="center"/>
              <w:rPr>
                <w:sz w:val="22"/>
                <w:szCs w:val="22"/>
                <w:u w:val="single"/>
              </w:rPr>
            </w:pPr>
            <w:r>
              <w:rPr>
                <w:rFonts w:hint="eastAsia"/>
                <w:sz w:val="22"/>
                <w:szCs w:val="22"/>
                <w:u w:val="single"/>
              </w:rPr>
              <w:t>15分</w:t>
            </w:r>
          </w:p>
        </w:tc>
        <w:tc>
          <w:tcPr>
            <w:tcW w:w="1380" w:type="dxa"/>
            <w:vAlign w:val="center"/>
          </w:tcPr>
          <w:p>
            <w:pPr>
              <w:spacing w:line="360" w:lineRule="auto"/>
              <w:jc w:val="center"/>
              <w:rPr>
                <w:bCs/>
                <w:szCs w:val="21"/>
              </w:rPr>
            </w:pPr>
            <w:r>
              <w:rPr>
                <w:bCs/>
                <w:szCs w:val="21"/>
              </w:rPr>
              <w:t>造价咨询服务方案</w:t>
            </w:r>
          </w:p>
        </w:tc>
        <w:tc>
          <w:tcPr>
            <w:tcW w:w="765" w:type="dxa"/>
            <w:vAlign w:val="center"/>
          </w:tcPr>
          <w:p>
            <w:pPr>
              <w:spacing w:line="360" w:lineRule="auto"/>
              <w:jc w:val="center"/>
              <w:rPr>
                <w:sz w:val="22"/>
                <w:szCs w:val="22"/>
              </w:rPr>
            </w:pPr>
            <w:r>
              <w:rPr>
                <w:rFonts w:hint="eastAsia"/>
                <w:sz w:val="22"/>
                <w:szCs w:val="22"/>
              </w:rPr>
              <w:t>15分</w:t>
            </w:r>
          </w:p>
        </w:tc>
        <w:tc>
          <w:tcPr>
            <w:tcW w:w="8661" w:type="dxa"/>
            <w:vAlign w:val="center"/>
          </w:tcPr>
          <w:p>
            <w:pPr>
              <w:rPr>
                <w:bCs/>
                <w:szCs w:val="21"/>
              </w:rPr>
            </w:pPr>
            <w:r>
              <w:rPr>
                <w:rFonts w:hint="eastAsia"/>
                <w:bCs/>
                <w:szCs w:val="21"/>
              </w:rPr>
              <w:t>应针对本次招标内容及特点进行描述，包括但不限于造价咨询成果质量控制方案、进度控制方案、合理化建议、服务承诺等，评标委员会根据方案优劣进行综合评分9-15分。</w:t>
            </w:r>
          </w:p>
          <w:p>
            <w:pPr>
              <w:rPr>
                <w:bCs/>
                <w:szCs w:val="21"/>
              </w:rPr>
            </w:pPr>
            <w:r>
              <w:rPr>
                <w:rFonts w:hint="eastAsia"/>
                <w:bCs/>
                <w:szCs w:val="21"/>
              </w:rPr>
              <w:t>注：方案未提供的不得分。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5" w:hRule="atLeast"/>
          <w:tblHeader/>
          <w:jc w:val="center"/>
        </w:trPr>
        <w:tc>
          <w:tcPr>
            <w:tcW w:w="952" w:type="dxa"/>
            <w:vAlign w:val="center"/>
          </w:tcPr>
          <w:p>
            <w:pPr>
              <w:jc w:val="center"/>
              <w:rPr>
                <w:sz w:val="22"/>
                <w:szCs w:val="22"/>
              </w:rPr>
            </w:pPr>
            <w:r>
              <w:rPr>
                <w:sz w:val="22"/>
                <w:szCs w:val="22"/>
              </w:rPr>
              <w:t>2.2.4(</w:t>
            </w:r>
            <w:r>
              <w:rPr>
                <w:rFonts w:hint="eastAsia"/>
                <w:sz w:val="22"/>
                <w:szCs w:val="22"/>
              </w:rPr>
              <w:t>4</w:t>
            </w:r>
            <w:r>
              <w:rPr>
                <w:sz w:val="22"/>
                <w:szCs w:val="22"/>
              </w:rPr>
              <w:t>)</w:t>
            </w:r>
          </w:p>
        </w:tc>
        <w:tc>
          <w:tcPr>
            <w:tcW w:w="675" w:type="dxa"/>
            <w:vAlign w:val="center"/>
          </w:tcPr>
          <w:p>
            <w:pPr>
              <w:jc w:val="center"/>
              <w:rPr>
                <w:sz w:val="22"/>
                <w:szCs w:val="22"/>
              </w:rPr>
            </w:pPr>
            <w:r>
              <w:rPr>
                <w:rFonts w:hint="eastAsia"/>
                <w:sz w:val="22"/>
                <w:szCs w:val="22"/>
              </w:rPr>
              <w:t>商务报价</w:t>
            </w:r>
          </w:p>
        </w:tc>
        <w:tc>
          <w:tcPr>
            <w:tcW w:w="825" w:type="dxa"/>
            <w:vAlign w:val="center"/>
          </w:tcPr>
          <w:p>
            <w:pPr>
              <w:jc w:val="center"/>
              <w:rPr>
                <w:sz w:val="22"/>
                <w:szCs w:val="22"/>
              </w:rPr>
            </w:pPr>
            <w:r>
              <w:rPr>
                <w:sz w:val="22"/>
                <w:szCs w:val="22"/>
              </w:rPr>
              <w:t>评审价</w:t>
            </w:r>
          </w:p>
        </w:tc>
        <w:tc>
          <w:tcPr>
            <w:tcW w:w="960" w:type="dxa"/>
            <w:vAlign w:val="center"/>
          </w:tcPr>
          <w:p>
            <w:pPr>
              <w:jc w:val="center"/>
              <w:rPr>
                <w:sz w:val="22"/>
                <w:szCs w:val="22"/>
              </w:rPr>
            </w:pPr>
            <w:r>
              <w:rPr>
                <w:rFonts w:hint="eastAsia"/>
                <w:sz w:val="22"/>
                <w:szCs w:val="22"/>
                <w:u w:val="single"/>
              </w:rPr>
              <w:t>2</w:t>
            </w:r>
            <w:r>
              <w:rPr>
                <w:sz w:val="22"/>
                <w:szCs w:val="22"/>
                <w:u w:val="single"/>
              </w:rPr>
              <w:t>0</w:t>
            </w:r>
            <w:r>
              <w:rPr>
                <w:sz w:val="22"/>
                <w:szCs w:val="22"/>
              </w:rPr>
              <w:t>分</w:t>
            </w:r>
          </w:p>
        </w:tc>
        <w:tc>
          <w:tcPr>
            <w:tcW w:w="10806" w:type="dxa"/>
            <w:gridSpan w:val="3"/>
            <w:vAlign w:val="center"/>
          </w:tcPr>
          <w:p>
            <w:pPr>
              <w:tabs>
                <w:tab w:val="left" w:pos="3330"/>
              </w:tabs>
              <w:snapToGrid w:val="0"/>
              <w:spacing w:line="276" w:lineRule="auto"/>
              <w:rPr>
                <w:rFonts w:ascii="宋体" w:hAnsi="宋体" w:cs="宋体"/>
                <w:szCs w:val="21"/>
              </w:rPr>
            </w:pPr>
            <w:r>
              <w:rPr>
                <w:rFonts w:hint="eastAsia" w:ascii="宋体" w:hAnsi="宋体" w:cs="宋体"/>
                <w:szCs w:val="21"/>
              </w:rPr>
              <w:t>（1）计算评标基准价</w:t>
            </w:r>
          </w:p>
          <w:p>
            <w:pPr>
              <w:tabs>
                <w:tab w:val="left" w:pos="3330"/>
              </w:tabs>
              <w:snapToGrid w:val="0"/>
              <w:spacing w:line="276" w:lineRule="auto"/>
              <w:ind w:firstLine="396" w:firstLineChars="200"/>
              <w:rPr>
                <w:rFonts w:ascii="宋体" w:hAnsi="宋体" w:cs="宋体"/>
                <w:spacing w:val="-6"/>
                <w:szCs w:val="21"/>
              </w:rPr>
            </w:pPr>
            <w:r>
              <w:rPr>
                <w:rFonts w:hint="eastAsia" w:ascii="宋体" w:hAnsi="宋体" w:cs="宋体"/>
                <w:spacing w:val="-6"/>
                <w:szCs w:val="21"/>
              </w:rPr>
              <w:t xml:space="preserve">通过技术标有效性评审的所有响应人投标报价的平均值为评标基准价。（当通过技术标有效性评审的所有响应人家数大于或等于5时，计算该平均值时去掉一个最高报价和一个最低报价）。 </w:t>
            </w:r>
          </w:p>
          <w:p>
            <w:pPr>
              <w:snapToGrid w:val="0"/>
              <w:spacing w:line="276" w:lineRule="auto"/>
              <w:rPr>
                <w:rFonts w:ascii="宋体" w:hAnsi="宋体" w:cs="宋体"/>
                <w:szCs w:val="21"/>
              </w:rPr>
            </w:pPr>
            <w:r>
              <w:rPr>
                <w:rFonts w:hint="eastAsia" w:ascii="宋体" w:hAnsi="宋体" w:cs="宋体"/>
                <w:szCs w:val="21"/>
              </w:rPr>
              <w:t>（2）计算价格得分</w:t>
            </w:r>
          </w:p>
          <w:p>
            <w:pPr>
              <w:snapToGrid w:val="0"/>
              <w:spacing w:line="312" w:lineRule="auto"/>
              <w:ind w:firstLine="525" w:firstLineChars="250"/>
              <w:rPr>
                <w:sz w:val="22"/>
                <w:szCs w:val="22"/>
              </w:rPr>
            </w:pPr>
            <w:r>
              <w:rPr>
                <w:rFonts w:ascii="宋体" w:hAnsi="宋体"/>
                <w:szCs w:val="21"/>
              </w:rPr>
              <w:t>报价</w:t>
            </w:r>
            <w:r>
              <w:rPr>
                <w:rFonts w:hint="eastAsia" w:ascii="宋体" w:hAnsi="宋体"/>
                <w:szCs w:val="21"/>
              </w:rPr>
              <w:t>等于基准价的</w:t>
            </w:r>
            <w:r>
              <w:rPr>
                <w:rFonts w:ascii="宋体" w:hAnsi="宋体"/>
                <w:szCs w:val="21"/>
              </w:rPr>
              <w:t>得满分</w:t>
            </w:r>
            <w:r>
              <w:rPr>
                <w:rFonts w:hint="eastAsia" w:ascii="宋体" w:hAnsi="宋体"/>
                <w:szCs w:val="21"/>
              </w:rPr>
              <w:t>20</w:t>
            </w:r>
            <w:r>
              <w:rPr>
                <w:rFonts w:ascii="宋体" w:hAnsi="宋体"/>
                <w:szCs w:val="21"/>
              </w:rPr>
              <w:t>分，</w:t>
            </w:r>
            <w:r>
              <w:rPr>
                <w:rFonts w:ascii="宋体" w:hAnsi="宋体"/>
                <w:sz w:val="21"/>
                <w:szCs w:val="21"/>
              </w:rPr>
              <w:t>其</w:t>
            </w:r>
            <w:r>
              <w:rPr>
                <w:rFonts w:ascii="宋体" w:hAnsi="宋体"/>
                <w:szCs w:val="21"/>
              </w:rPr>
              <w:t>他投标报价与</w:t>
            </w:r>
            <w:r>
              <w:rPr>
                <w:rFonts w:hint="eastAsia" w:ascii="宋体" w:hAnsi="宋体"/>
                <w:szCs w:val="21"/>
              </w:rPr>
              <w:t>评标基准价</w:t>
            </w:r>
            <w:r>
              <w:rPr>
                <w:rFonts w:ascii="宋体" w:hAnsi="宋体"/>
                <w:szCs w:val="21"/>
              </w:rPr>
              <w:t>相比，每</w:t>
            </w:r>
            <w:r>
              <w:rPr>
                <w:rFonts w:hint="eastAsia" w:ascii="宋体" w:hAnsi="宋体"/>
                <w:szCs w:val="21"/>
              </w:rPr>
              <w:t>高1%</w:t>
            </w:r>
            <w:r>
              <w:rPr>
                <w:rFonts w:ascii="宋体" w:hAnsi="宋体"/>
                <w:szCs w:val="21"/>
              </w:rPr>
              <w:t>扣</w:t>
            </w:r>
            <w:r>
              <w:rPr>
                <w:rFonts w:hint="eastAsia" w:ascii="宋体" w:hAnsi="宋体"/>
                <w:szCs w:val="21"/>
              </w:rPr>
              <w:t>0.</w:t>
            </w:r>
            <w:r>
              <w:rPr>
                <w:rFonts w:hint="eastAsia" w:ascii="宋体" w:hAnsi="宋体"/>
                <w:color w:val="FF0000"/>
                <w:szCs w:val="21"/>
              </w:rPr>
              <w:t>3</w:t>
            </w:r>
            <w:r>
              <w:rPr>
                <w:rFonts w:ascii="宋体" w:hAnsi="宋体"/>
                <w:szCs w:val="21"/>
              </w:rPr>
              <w:t>分</w:t>
            </w:r>
            <w:r>
              <w:rPr>
                <w:rFonts w:hint="eastAsia" w:ascii="宋体" w:hAnsi="宋体"/>
                <w:szCs w:val="21"/>
              </w:rPr>
              <w:t>，每低1%扣0.2分，扣完为止；不足1%的按直线插入法计算得分（保留两位小数），价格分最低得分为0分</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14218" w:type="dxa"/>
            <w:gridSpan w:val="7"/>
            <w:vAlign w:val="center"/>
          </w:tcPr>
          <w:p>
            <w:pPr>
              <w:autoSpaceDE w:val="0"/>
              <w:autoSpaceDN w:val="0"/>
              <w:adjustRightInd w:val="0"/>
              <w:spacing w:line="360" w:lineRule="exact"/>
              <w:rPr>
                <w:b/>
                <w:bCs/>
                <w:sz w:val="22"/>
                <w:szCs w:val="22"/>
              </w:rPr>
            </w:pPr>
            <w:r>
              <w:rPr>
                <w:b/>
                <w:bCs/>
                <w:sz w:val="22"/>
                <w:szCs w:val="22"/>
              </w:rPr>
              <w:t>备注：</w:t>
            </w:r>
          </w:p>
          <w:p>
            <w:pPr>
              <w:pStyle w:val="139"/>
              <w:numPr>
                <w:ilvl w:val="0"/>
                <w:numId w:val="3"/>
              </w:numPr>
              <w:snapToGrid w:val="0"/>
              <w:spacing w:line="312" w:lineRule="auto"/>
              <w:ind w:firstLineChars="0"/>
              <w:jc w:val="left"/>
              <w:rPr>
                <w:rFonts w:ascii="宋体" w:hAnsi="宋体"/>
                <w:szCs w:val="21"/>
              </w:rPr>
            </w:pPr>
            <w:r>
              <w:rPr>
                <w:rFonts w:hint="eastAsia" w:ascii="宋体" w:hAnsi="宋体"/>
                <w:szCs w:val="21"/>
              </w:rPr>
              <w:t>详细评审中涉及的近三年、类似业绩、业绩证明材料同初步评审描述。</w:t>
            </w:r>
          </w:p>
          <w:p>
            <w:pPr>
              <w:snapToGrid w:val="0"/>
              <w:spacing w:line="312" w:lineRule="auto"/>
              <w:jc w:val="left"/>
              <w:rPr>
                <w:rFonts w:ascii="宋体" w:hAnsi="宋体"/>
                <w:szCs w:val="21"/>
              </w:rPr>
            </w:pPr>
            <w:r>
              <w:rPr>
                <w:rFonts w:hint="eastAsia" w:ascii="宋体" w:hAnsi="宋体"/>
                <w:szCs w:val="21"/>
              </w:rPr>
              <w:t>2、企业业绩和拟派项目负责人的业绩可以重复计分；</w:t>
            </w:r>
          </w:p>
          <w:p>
            <w:pPr>
              <w:snapToGrid w:val="0"/>
              <w:spacing w:line="312" w:lineRule="auto"/>
              <w:jc w:val="left"/>
              <w:rPr>
                <w:rFonts w:ascii="宋体" w:hAnsi="宋体"/>
                <w:szCs w:val="21"/>
              </w:rPr>
            </w:pPr>
            <w:r>
              <w:rPr>
                <w:rFonts w:hint="eastAsia" w:ascii="宋体" w:hAnsi="宋体"/>
                <w:szCs w:val="21"/>
              </w:rPr>
              <w:t>3、业绩一、业绩二不重复计分，按较高分计。</w:t>
            </w:r>
          </w:p>
          <w:p>
            <w:pPr>
              <w:snapToGrid w:val="0"/>
              <w:spacing w:line="312" w:lineRule="auto"/>
              <w:jc w:val="left"/>
              <w:rPr>
                <w:rFonts w:ascii="宋体" w:hAnsi="宋体"/>
                <w:szCs w:val="21"/>
              </w:rPr>
            </w:pPr>
            <w:r>
              <w:rPr>
                <w:rFonts w:hint="eastAsia" w:ascii="宋体" w:hAnsi="宋体"/>
                <w:szCs w:val="21"/>
              </w:rPr>
              <w:t>4、造价咨询</w:t>
            </w:r>
            <w:r>
              <w:rPr>
                <w:rFonts w:ascii="宋体" w:hAnsi="宋体"/>
                <w:szCs w:val="21"/>
              </w:rPr>
              <w:t>库内单位证明</w:t>
            </w:r>
            <w:r>
              <w:rPr>
                <w:rFonts w:hint="eastAsia" w:ascii="宋体" w:hAnsi="宋体"/>
                <w:szCs w:val="21"/>
              </w:rPr>
              <w:t>材料</w:t>
            </w:r>
            <w:r>
              <w:rPr>
                <w:rFonts w:ascii="宋体" w:hAnsi="宋体"/>
                <w:szCs w:val="21"/>
              </w:rPr>
              <w:t>：须提供</w:t>
            </w:r>
            <w:r>
              <w:rPr>
                <w:rFonts w:hint="eastAsia" w:ascii="宋体" w:hAnsi="宋体"/>
                <w:szCs w:val="21"/>
              </w:rPr>
              <w:t>政府相关部门</w:t>
            </w:r>
            <w:r>
              <w:rPr>
                <w:rFonts w:ascii="宋体" w:hAnsi="宋体"/>
                <w:szCs w:val="21"/>
              </w:rPr>
              <w:t>（审计、财务、招投标管理部门</w:t>
            </w:r>
            <w:r>
              <w:rPr>
                <w:rFonts w:hint="eastAsia" w:ascii="宋体" w:hAnsi="宋体"/>
                <w:szCs w:val="21"/>
              </w:rPr>
              <w:t>、国资监管</w:t>
            </w:r>
            <w:r>
              <w:rPr>
                <w:rFonts w:ascii="宋体" w:hAnsi="宋体"/>
                <w:szCs w:val="21"/>
              </w:rPr>
              <w:t>）咨询单位入库</w:t>
            </w:r>
            <w:r>
              <w:rPr>
                <w:rFonts w:hint="eastAsia" w:ascii="宋体" w:hAnsi="宋体"/>
                <w:szCs w:val="21"/>
              </w:rPr>
              <w:t>协议或</w:t>
            </w:r>
            <w:r>
              <w:rPr>
                <w:rFonts w:ascii="宋体" w:hAnsi="宋体"/>
                <w:szCs w:val="21"/>
              </w:rPr>
              <w:t>公示网页截图</w:t>
            </w:r>
            <w:r>
              <w:rPr>
                <w:rFonts w:hint="eastAsia" w:ascii="宋体" w:hAnsi="宋体"/>
                <w:szCs w:val="21"/>
              </w:rPr>
              <w:t>（网页</w:t>
            </w:r>
            <w:r>
              <w:rPr>
                <w:rFonts w:ascii="宋体" w:hAnsi="宋体"/>
                <w:szCs w:val="21"/>
              </w:rPr>
              <w:t>截图不能显示名称的需提供查询网址，查询网址须为公共查询网址</w:t>
            </w:r>
            <w:r>
              <w:rPr>
                <w:rFonts w:hint="eastAsia" w:ascii="宋体" w:hAnsi="宋体"/>
                <w:szCs w:val="21"/>
              </w:rPr>
              <w:t>。）</w:t>
            </w:r>
          </w:p>
          <w:p>
            <w:pPr>
              <w:snapToGrid w:val="0"/>
              <w:spacing w:line="312" w:lineRule="auto"/>
              <w:jc w:val="left"/>
              <w:rPr>
                <w:rFonts w:ascii="宋体" w:hAnsi="宋体"/>
                <w:szCs w:val="21"/>
              </w:rPr>
            </w:pPr>
            <w:r>
              <w:rPr>
                <w:rFonts w:hint="eastAsia" w:ascii="宋体" w:hAnsi="宋体"/>
                <w:szCs w:val="21"/>
              </w:rPr>
              <w:t>5、企业荣誉证明材料：所有奖项须提供获奖证书或获奖文件，获奖时间以获奖证书颁发时间或获奖文件落款时间为准；同一业绩所获奖项不重复计分，按较高分计。</w:t>
            </w:r>
          </w:p>
          <w:p>
            <w:pPr>
              <w:snapToGrid w:val="0"/>
              <w:spacing w:line="312" w:lineRule="auto"/>
              <w:jc w:val="left"/>
              <w:rPr>
                <w:rFonts w:ascii="宋体" w:hAnsi="宋体"/>
                <w:szCs w:val="21"/>
              </w:rPr>
            </w:pPr>
            <w:r>
              <w:rPr>
                <w:rFonts w:hint="eastAsia" w:ascii="宋体" w:hAnsi="宋体"/>
                <w:szCs w:val="21"/>
              </w:rPr>
              <w:t>5、团队其他人员注册造价工程师资格提供有效的造价工程师注册证书。</w:t>
            </w:r>
          </w:p>
          <w:p>
            <w:pPr>
              <w:snapToGrid w:val="0"/>
              <w:spacing w:line="312" w:lineRule="auto"/>
              <w:jc w:val="left"/>
              <w:rPr>
                <w:rFonts w:ascii="宋体" w:hAnsi="宋体"/>
                <w:szCs w:val="21"/>
              </w:rPr>
            </w:pPr>
            <w:r>
              <w:rPr>
                <w:rFonts w:hint="eastAsia" w:ascii="宋体" w:hAnsi="宋体"/>
                <w:szCs w:val="21"/>
              </w:rPr>
              <w:t>6、上述打分所需的资料，响应人应按要求保证在有效期内，如不在有效期内，应提供相关部门的合法批件或其他相关书面证明材料证明其有效性。</w:t>
            </w:r>
          </w:p>
        </w:tc>
      </w:tr>
    </w:tbl>
    <w:tbl>
      <w:tblPr>
        <w:tblStyle w:val="61"/>
        <w:tblpPr w:leftFromText="180" w:rightFromText="180" w:vertAnchor="text" w:horzAnchor="page" w:tblpX="1493" w:tblpY="261"/>
        <w:tblOverlap w:val="never"/>
        <w:tblW w:w="1421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02"/>
        <w:gridCol w:w="2441"/>
        <w:gridCol w:w="1017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3" w:hRule="atLeast"/>
          <w:tblHeader/>
        </w:trPr>
        <w:tc>
          <w:tcPr>
            <w:tcW w:w="1602" w:type="dxa"/>
            <w:tcBorders>
              <w:top w:val="single" w:color="auto" w:sz="4" w:space="0"/>
              <w:bottom w:val="single" w:color="auto" w:sz="4" w:space="0"/>
              <w:right w:val="single" w:color="auto" w:sz="4" w:space="0"/>
            </w:tcBorders>
            <w:vAlign w:val="center"/>
          </w:tcPr>
          <w:p>
            <w:pPr>
              <w:snapToGrid w:val="0"/>
              <w:spacing w:line="276" w:lineRule="auto"/>
              <w:jc w:val="center"/>
              <w:rPr>
                <w:szCs w:val="21"/>
              </w:rPr>
            </w:pPr>
            <w:r>
              <w:rPr>
                <w:szCs w:val="21"/>
              </w:rPr>
              <w:t>条款号</w:t>
            </w:r>
          </w:p>
        </w:tc>
        <w:tc>
          <w:tcPr>
            <w:tcW w:w="244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szCs w:val="21"/>
              </w:rPr>
            </w:pPr>
            <w:r>
              <w:rPr>
                <w:szCs w:val="21"/>
              </w:rPr>
              <w:t>条款内容</w:t>
            </w:r>
          </w:p>
        </w:tc>
        <w:tc>
          <w:tcPr>
            <w:tcW w:w="10175" w:type="dxa"/>
            <w:tcBorders>
              <w:top w:val="single" w:color="auto" w:sz="4" w:space="0"/>
              <w:left w:val="single" w:color="auto" w:sz="4" w:space="0"/>
              <w:bottom w:val="single" w:color="auto" w:sz="4" w:space="0"/>
            </w:tcBorders>
            <w:vAlign w:val="center"/>
          </w:tcPr>
          <w:p>
            <w:pPr>
              <w:snapToGrid w:val="0"/>
              <w:spacing w:line="276" w:lineRule="auto"/>
              <w:jc w:val="center"/>
              <w:rPr>
                <w:szCs w:val="21"/>
              </w:rPr>
            </w:pPr>
            <w:r>
              <w:rPr>
                <w:szCs w:val="21"/>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602" w:type="dxa"/>
            <w:tcBorders>
              <w:bottom w:val="single" w:color="auto" w:sz="4" w:space="0"/>
              <w:right w:val="single" w:color="auto" w:sz="4" w:space="0"/>
            </w:tcBorders>
            <w:vAlign w:val="center"/>
          </w:tcPr>
          <w:p>
            <w:pPr>
              <w:snapToGrid w:val="0"/>
              <w:spacing w:line="276" w:lineRule="auto"/>
              <w:jc w:val="center"/>
              <w:rPr>
                <w:szCs w:val="21"/>
              </w:rPr>
            </w:pPr>
            <w:r>
              <w:rPr>
                <w:szCs w:val="21"/>
              </w:rPr>
              <w:t>3.1</w:t>
            </w:r>
          </w:p>
        </w:tc>
        <w:tc>
          <w:tcPr>
            <w:tcW w:w="244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szCs w:val="21"/>
              </w:rPr>
            </w:pPr>
            <w:r>
              <w:rPr>
                <w:szCs w:val="21"/>
              </w:rPr>
              <w:t>形式、响应性评审和资格评审</w:t>
            </w:r>
          </w:p>
        </w:tc>
        <w:tc>
          <w:tcPr>
            <w:tcW w:w="10175" w:type="dxa"/>
            <w:tcBorders>
              <w:top w:val="single" w:color="auto" w:sz="4" w:space="0"/>
              <w:left w:val="single" w:color="auto" w:sz="4" w:space="0"/>
              <w:bottom w:val="single" w:color="auto" w:sz="4" w:space="0"/>
            </w:tcBorders>
            <w:vAlign w:val="center"/>
          </w:tcPr>
          <w:p>
            <w:pPr>
              <w:snapToGrid w:val="0"/>
              <w:spacing w:line="276" w:lineRule="auto"/>
              <w:rPr>
                <w:szCs w:val="21"/>
              </w:rPr>
            </w:pPr>
            <w:r>
              <w:rPr>
                <w:szCs w:val="21"/>
              </w:rPr>
              <w:t>评审小组首先对</w:t>
            </w:r>
            <w:r>
              <w:rPr>
                <w:rFonts w:hint="eastAsia"/>
                <w:szCs w:val="21"/>
              </w:rPr>
              <w:t>响应文件</w:t>
            </w:r>
            <w:r>
              <w:rPr>
                <w:szCs w:val="21"/>
              </w:rPr>
              <w:t>进行形式性、响应性评审和资格评审。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602" w:type="dxa"/>
            <w:tcBorders>
              <w:bottom w:val="single" w:color="auto" w:sz="4" w:space="0"/>
              <w:right w:val="single" w:color="auto" w:sz="4" w:space="0"/>
            </w:tcBorders>
            <w:vAlign w:val="center"/>
          </w:tcPr>
          <w:p>
            <w:pPr>
              <w:snapToGrid w:val="0"/>
              <w:spacing w:line="276" w:lineRule="auto"/>
              <w:jc w:val="center"/>
              <w:rPr>
                <w:szCs w:val="21"/>
              </w:rPr>
            </w:pPr>
            <w:r>
              <w:rPr>
                <w:szCs w:val="21"/>
              </w:rPr>
              <w:t>3.2.1</w:t>
            </w:r>
          </w:p>
        </w:tc>
        <w:tc>
          <w:tcPr>
            <w:tcW w:w="244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szCs w:val="21"/>
              </w:rPr>
            </w:pPr>
            <w:r>
              <w:rPr>
                <w:rFonts w:hint="eastAsia"/>
                <w:color w:val="auto"/>
                <w:szCs w:val="21"/>
              </w:rPr>
              <w:t>技术标和商务报价</w:t>
            </w:r>
          </w:p>
        </w:tc>
        <w:tc>
          <w:tcPr>
            <w:tcW w:w="10175" w:type="dxa"/>
            <w:tcBorders>
              <w:top w:val="single" w:color="auto" w:sz="4" w:space="0"/>
              <w:left w:val="single" w:color="auto" w:sz="4" w:space="0"/>
              <w:bottom w:val="single" w:color="auto" w:sz="4" w:space="0"/>
            </w:tcBorders>
            <w:vAlign w:val="center"/>
          </w:tcPr>
          <w:p>
            <w:pPr>
              <w:snapToGrid w:val="0"/>
              <w:spacing w:line="276" w:lineRule="auto"/>
              <w:rPr>
                <w:szCs w:val="21"/>
              </w:rPr>
            </w:pPr>
            <w:r>
              <w:rPr>
                <w:szCs w:val="21"/>
              </w:rPr>
              <w:t>对通过形式评审、响应性评审和资格评审的</w:t>
            </w:r>
            <w:r>
              <w:rPr>
                <w:rFonts w:hint="eastAsia"/>
                <w:szCs w:val="21"/>
              </w:rPr>
              <w:t>响应文件</w:t>
            </w:r>
            <w:r>
              <w:rPr>
                <w:szCs w:val="21"/>
              </w:rPr>
              <w:t>按本章第2.2款规定的量化因素和分值进行评分，计算出技术综合评估得分，由评审小组独立打分，以评审小组各成员的打分平均值确定，保留两位小数。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2" w:hRule="atLeast"/>
        </w:trPr>
        <w:tc>
          <w:tcPr>
            <w:tcW w:w="1602" w:type="dxa"/>
            <w:tcBorders>
              <w:top w:val="single" w:color="auto" w:sz="4" w:space="0"/>
              <w:bottom w:val="single" w:color="auto" w:sz="4" w:space="0"/>
              <w:right w:val="single" w:color="auto" w:sz="4" w:space="0"/>
            </w:tcBorders>
            <w:vAlign w:val="center"/>
          </w:tcPr>
          <w:p>
            <w:pPr>
              <w:snapToGrid w:val="0"/>
              <w:spacing w:line="276" w:lineRule="auto"/>
              <w:jc w:val="center"/>
              <w:rPr>
                <w:szCs w:val="21"/>
              </w:rPr>
            </w:pPr>
            <w:r>
              <w:rPr>
                <w:szCs w:val="21"/>
              </w:rPr>
              <w:t>3.4</w:t>
            </w:r>
          </w:p>
        </w:tc>
        <w:tc>
          <w:tcPr>
            <w:tcW w:w="244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szCs w:val="21"/>
              </w:rPr>
            </w:pPr>
            <w:r>
              <w:rPr>
                <w:szCs w:val="21"/>
              </w:rPr>
              <w:t>评审结果</w:t>
            </w:r>
          </w:p>
        </w:tc>
        <w:tc>
          <w:tcPr>
            <w:tcW w:w="10175" w:type="dxa"/>
            <w:tcBorders>
              <w:top w:val="single" w:color="auto" w:sz="4" w:space="0"/>
              <w:left w:val="single" w:color="auto" w:sz="4" w:space="0"/>
              <w:bottom w:val="single" w:color="auto" w:sz="4" w:space="0"/>
            </w:tcBorders>
            <w:vAlign w:val="center"/>
          </w:tcPr>
          <w:p>
            <w:pPr>
              <w:snapToGrid w:val="0"/>
              <w:spacing w:line="276" w:lineRule="auto"/>
              <w:jc w:val="left"/>
              <w:rPr>
                <w:szCs w:val="21"/>
              </w:rPr>
            </w:pPr>
            <w:r>
              <w:rPr>
                <w:szCs w:val="21"/>
              </w:rPr>
              <w:t>评审小组计算</w:t>
            </w:r>
            <w:r>
              <w:rPr>
                <w:rFonts w:hint="eastAsia"/>
                <w:szCs w:val="21"/>
              </w:rPr>
              <w:t>响应文件</w:t>
            </w:r>
            <w:r>
              <w:rPr>
                <w:szCs w:val="21"/>
              </w:rPr>
              <w:t>综合评分＝技术评审得分＋</w:t>
            </w:r>
            <w:r>
              <w:rPr>
                <w:rFonts w:hint="eastAsia"/>
                <w:szCs w:val="21"/>
              </w:rPr>
              <w:t>商务</w:t>
            </w:r>
            <w:r>
              <w:rPr>
                <w:szCs w:val="21"/>
              </w:rPr>
              <w:t>报价评审得分。</w:t>
            </w:r>
          </w:p>
          <w:p>
            <w:pPr>
              <w:snapToGrid w:val="0"/>
              <w:spacing w:line="276" w:lineRule="auto"/>
              <w:jc w:val="left"/>
              <w:rPr>
                <w:szCs w:val="21"/>
              </w:rPr>
            </w:pPr>
            <w:r>
              <w:rPr>
                <w:szCs w:val="21"/>
              </w:rPr>
              <w:t>评审小组按照综合评分由高到低的顺序推荐</w:t>
            </w:r>
            <w:r>
              <w:rPr>
                <w:rFonts w:hint="eastAsia"/>
                <w:szCs w:val="21"/>
              </w:rPr>
              <w:t>三名</w:t>
            </w:r>
            <w:r>
              <w:rPr>
                <w:szCs w:val="21"/>
              </w:rPr>
              <w:t>成交候选人。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4" w:hRule="atLeast"/>
        </w:trPr>
        <w:tc>
          <w:tcPr>
            <w:tcW w:w="14218" w:type="dxa"/>
            <w:gridSpan w:val="3"/>
            <w:tcBorders>
              <w:top w:val="single" w:color="auto" w:sz="4" w:space="0"/>
              <w:bottom w:val="single" w:color="auto" w:sz="4" w:space="0"/>
            </w:tcBorders>
            <w:vAlign w:val="center"/>
          </w:tcPr>
          <w:p>
            <w:pPr>
              <w:snapToGrid w:val="0"/>
              <w:ind w:firstLine="0" w:firstLineChars="0"/>
              <w:jc w:val="left"/>
              <w:rPr>
                <w:rFonts w:ascii="宋体" w:hAnsi="宋体"/>
                <w:szCs w:val="21"/>
              </w:rPr>
            </w:pPr>
            <w:r>
              <w:rPr>
                <w:rFonts w:hint="eastAsia" w:ascii="宋体" w:hAnsi="宋体"/>
                <w:szCs w:val="21"/>
              </w:rPr>
              <w:t>补充</w:t>
            </w:r>
            <w:r>
              <w:rPr>
                <w:rFonts w:ascii="宋体" w:hAnsi="宋体"/>
                <w:szCs w:val="21"/>
              </w:rPr>
              <w:t>说明：</w:t>
            </w:r>
            <w:r>
              <w:rPr>
                <w:rFonts w:hint="eastAsia" w:ascii="宋体" w:hAnsi="宋体"/>
                <w:szCs w:val="21"/>
              </w:rPr>
              <w:t>评分如出现小数点，则保留小数点后两位，第三位四舍五入。</w:t>
            </w:r>
          </w:p>
          <w:p>
            <w:pPr>
              <w:snapToGrid w:val="0"/>
              <w:spacing w:line="276" w:lineRule="auto"/>
              <w:ind w:firstLine="630" w:firstLineChars="300"/>
              <w:rPr>
                <w:szCs w:val="21"/>
              </w:rPr>
            </w:pPr>
          </w:p>
        </w:tc>
      </w:tr>
    </w:tbl>
    <w:p>
      <w:pPr>
        <w:pStyle w:val="154"/>
        <w:snapToGrid w:val="0"/>
        <w:spacing w:line="360" w:lineRule="auto"/>
        <w:ind w:right="-483" w:rightChars="-230"/>
        <w:outlineLvl w:val="2"/>
        <w:rPr>
          <w:b/>
          <w:sz w:val="24"/>
        </w:rPr>
        <w:sectPr>
          <w:footnotePr>
            <w:numFmt w:val="decimalEnclosedCircleChinese"/>
            <w:numRestart w:val="eachPage"/>
          </w:footnotePr>
          <w:pgSz w:w="16838" w:h="11906" w:orient="landscape"/>
          <w:pgMar w:top="1588" w:right="1418" w:bottom="1304" w:left="1418" w:header="851" w:footer="851" w:gutter="0"/>
          <w:cols w:space="720" w:num="1"/>
          <w:docGrid w:linePitch="312" w:charSpace="0"/>
        </w:sectPr>
      </w:pPr>
      <w:bookmarkStart w:id="13" w:name="_Toc481497225"/>
    </w:p>
    <w:p>
      <w:pPr>
        <w:pStyle w:val="154"/>
        <w:snapToGrid w:val="0"/>
        <w:spacing w:line="360" w:lineRule="auto"/>
        <w:ind w:right="-483" w:rightChars="-230"/>
        <w:outlineLvl w:val="2"/>
        <w:rPr>
          <w:b/>
          <w:sz w:val="24"/>
        </w:rPr>
      </w:pPr>
      <w:r>
        <w:rPr>
          <w:b/>
          <w:sz w:val="24"/>
        </w:rPr>
        <w:t>评审办法正文</w:t>
      </w:r>
      <w:bookmarkEnd w:id="13"/>
    </w:p>
    <w:p>
      <w:pPr>
        <w:pStyle w:val="154"/>
        <w:snapToGrid w:val="0"/>
        <w:spacing w:line="360" w:lineRule="auto"/>
        <w:rPr>
          <w:sz w:val="24"/>
        </w:rPr>
      </w:pPr>
      <w:r>
        <w:rPr>
          <w:sz w:val="24"/>
        </w:rPr>
        <w:t>1. 评审方法</w:t>
      </w:r>
    </w:p>
    <w:p>
      <w:pPr>
        <w:snapToGrid w:val="0"/>
        <w:spacing w:line="360" w:lineRule="auto"/>
        <w:ind w:firstLine="480" w:firstLineChars="200"/>
        <w:rPr>
          <w:sz w:val="24"/>
        </w:rPr>
      </w:pPr>
      <w:r>
        <w:rPr>
          <w:sz w:val="24"/>
        </w:rPr>
        <w:t>本次评审采用综合评分法。评审小组对满足</w:t>
      </w:r>
      <w:r>
        <w:rPr>
          <w:rFonts w:hint="eastAsia"/>
          <w:sz w:val="24"/>
        </w:rPr>
        <w:t>采购文件</w:t>
      </w:r>
      <w:r>
        <w:rPr>
          <w:sz w:val="24"/>
        </w:rPr>
        <w:t>实质性要求的</w:t>
      </w:r>
      <w:r>
        <w:rPr>
          <w:rFonts w:hint="eastAsia"/>
          <w:sz w:val="24"/>
        </w:rPr>
        <w:t>响应文件</w:t>
      </w:r>
      <w:r>
        <w:rPr>
          <w:sz w:val="24"/>
        </w:rPr>
        <w:t>，按照本章规定的评分标准进行评分，并按得分由高到低顺序推荐成交候选人，或根据采购人授权直接确定成交人，但报价低于其成本的除外。综合评分相等时，以报价低的优先；报价也相等时，采购人采用递交</w:t>
      </w:r>
      <w:r>
        <w:rPr>
          <w:rFonts w:hint="eastAsia"/>
          <w:sz w:val="24"/>
        </w:rPr>
        <w:t>响应文件</w:t>
      </w:r>
      <w:r>
        <w:rPr>
          <w:sz w:val="24"/>
        </w:rPr>
        <w:t>时间较前的</w:t>
      </w:r>
      <w:r>
        <w:rPr>
          <w:rFonts w:hint="eastAsia"/>
          <w:sz w:val="24"/>
        </w:rPr>
        <w:t>响应人</w:t>
      </w:r>
      <w:r>
        <w:rPr>
          <w:sz w:val="24"/>
        </w:rPr>
        <w:t>优先的方法确定第一成交候选人。</w:t>
      </w:r>
    </w:p>
    <w:p>
      <w:pPr>
        <w:pStyle w:val="154"/>
        <w:snapToGrid w:val="0"/>
        <w:spacing w:line="360" w:lineRule="auto"/>
        <w:rPr>
          <w:sz w:val="24"/>
        </w:rPr>
      </w:pPr>
      <w:r>
        <w:rPr>
          <w:sz w:val="24"/>
        </w:rPr>
        <w:t>2. 评审标准</w:t>
      </w:r>
      <w:r>
        <w:rPr>
          <w:rFonts w:hint="eastAsia"/>
          <w:sz w:val="24"/>
        </w:rPr>
        <w:t>：详前附评审标准</w:t>
      </w:r>
    </w:p>
    <w:p>
      <w:pPr>
        <w:snapToGrid w:val="0"/>
        <w:spacing w:line="360" w:lineRule="auto"/>
        <w:rPr>
          <w:sz w:val="24"/>
        </w:rPr>
      </w:pPr>
      <w:r>
        <w:rPr>
          <w:sz w:val="24"/>
        </w:rPr>
        <w:t>3. 评审程序</w:t>
      </w:r>
    </w:p>
    <w:p>
      <w:pPr>
        <w:pStyle w:val="154"/>
        <w:snapToGrid w:val="0"/>
        <w:spacing w:line="360" w:lineRule="auto"/>
        <w:rPr>
          <w:sz w:val="24"/>
        </w:rPr>
      </w:pPr>
      <w:r>
        <w:rPr>
          <w:sz w:val="24"/>
        </w:rPr>
        <w:t>3.1评审小组首先对</w:t>
      </w:r>
      <w:r>
        <w:rPr>
          <w:rFonts w:hint="eastAsia"/>
          <w:sz w:val="24"/>
        </w:rPr>
        <w:t>响应文件</w:t>
      </w:r>
      <w:r>
        <w:rPr>
          <w:sz w:val="24"/>
        </w:rPr>
        <w:t>进行形式、响应性评审和资格评审</w:t>
      </w:r>
    </w:p>
    <w:p>
      <w:pPr>
        <w:snapToGrid w:val="0"/>
        <w:spacing w:line="360" w:lineRule="auto"/>
        <w:rPr>
          <w:color w:val="000000" w:themeColor="text1"/>
          <w:sz w:val="24"/>
          <w14:textFill>
            <w14:solidFill>
              <w14:schemeClr w14:val="tx1"/>
            </w14:solidFill>
          </w14:textFill>
        </w:rPr>
      </w:pPr>
      <w:r>
        <w:rPr>
          <w:sz w:val="24"/>
        </w:rPr>
        <w:t>3.2评审小组按本章第2.2款规定的量化因素和分值对通过形式、响应性评审和资格评审的</w:t>
      </w:r>
      <w:r>
        <w:rPr>
          <w:rFonts w:hint="eastAsia"/>
          <w:sz w:val="24"/>
        </w:rPr>
        <w:t>响应文件</w:t>
      </w:r>
      <w:r>
        <w:rPr>
          <w:sz w:val="24"/>
        </w:rPr>
        <w:t>进行进行详细评审，详细评审包括技术评审和</w:t>
      </w:r>
      <w:r>
        <w:rPr>
          <w:rFonts w:hint="eastAsia"/>
          <w:sz w:val="24"/>
        </w:rPr>
        <w:t>商务</w:t>
      </w:r>
      <w:r>
        <w:rPr>
          <w:sz w:val="24"/>
        </w:rPr>
        <w:t>报价评审，并计算出综合评估得分。</w:t>
      </w:r>
    </w:p>
    <w:p>
      <w:pPr>
        <w:snapToGrid w:val="0"/>
        <w:spacing w:line="360" w:lineRule="auto"/>
        <w:ind w:firstLine="600" w:firstLineChars="250"/>
        <w:rPr>
          <w:color w:val="000000" w:themeColor="text1"/>
          <w:sz w:val="24"/>
          <w14:textFill>
            <w14:solidFill>
              <w14:schemeClr w14:val="tx1"/>
            </w14:solidFill>
          </w14:textFill>
        </w:rPr>
      </w:pPr>
      <w:r>
        <w:rPr>
          <w:color w:val="000000" w:themeColor="text1"/>
          <w:sz w:val="24"/>
          <w14:textFill>
            <w14:solidFill>
              <w14:schemeClr w14:val="tx1"/>
            </w14:solidFill>
          </w14:textFill>
        </w:rPr>
        <w:t>3.2.1技术评审和商务</w:t>
      </w:r>
      <w:r>
        <w:rPr>
          <w:rFonts w:hint="eastAsia"/>
          <w:color w:val="000000" w:themeColor="text1"/>
          <w:sz w:val="24"/>
          <w14:textFill>
            <w14:solidFill>
              <w14:schemeClr w14:val="tx1"/>
            </w14:solidFill>
          </w14:textFill>
        </w:rPr>
        <w:t>报价评审</w:t>
      </w:r>
    </w:p>
    <w:p>
      <w:pPr>
        <w:tabs>
          <w:tab w:val="left" w:pos="720"/>
        </w:tabs>
        <w:spacing w:line="360" w:lineRule="auto"/>
        <w:jc w:val="center"/>
        <w:rPr>
          <w:sz w:val="24"/>
        </w:rPr>
      </w:pPr>
      <w:r>
        <w:rPr>
          <w:sz w:val="24"/>
        </w:rPr>
        <w:t>（1）按本章2.2.4（1）目规定的评审因素和分值对</w:t>
      </w:r>
      <w:r>
        <w:rPr>
          <w:sz w:val="24"/>
          <w:u w:val="single"/>
        </w:rPr>
        <w:t>企业情况</w:t>
      </w:r>
      <w:r>
        <w:rPr>
          <w:sz w:val="24"/>
        </w:rPr>
        <w:t>计算出得分A；</w:t>
      </w:r>
    </w:p>
    <w:p>
      <w:pPr>
        <w:snapToGrid w:val="0"/>
        <w:spacing w:line="360" w:lineRule="auto"/>
        <w:ind w:firstLine="480" w:firstLineChars="200"/>
        <w:rPr>
          <w:sz w:val="24"/>
        </w:rPr>
      </w:pPr>
      <w:r>
        <w:rPr>
          <w:sz w:val="24"/>
        </w:rPr>
        <w:t>（2）按本章2.2.4（2）目规定的评审因素和分值对</w:t>
      </w:r>
      <w:r>
        <w:rPr>
          <w:rFonts w:hint="eastAsia"/>
          <w:sz w:val="24"/>
          <w:u w:val="single"/>
        </w:rPr>
        <w:t>拟派团队</w:t>
      </w:r>
      <w:r>
        <w:rPr>
          <w:sz w:val="24"/>
          <w:u w:val="single"/>
        </w:rPr>
        <w:t>情况</w:t>
      </w:r>
      <w:r>
        <w:rPr>
          <w:sz w:val="24"/>
        </w:rPr>
        <w:t>计算出得分B；</w:t>
      </w:r>
    </w:p>
    <w:p>
      <w:pPr>
        <w:tabs>
          <w:tab w:val="left" w:pos="720"/>
        </w:tabs>
        <w:spacing w:line="360" w:lineRule="auto"/>
        <w:jc w:val="center"/>
      </w:pPr>
      <w:r>
        <w:rPr>
          <w:rFonts w:hint="eastAsia"/>
          <w:sz w:val="24"/>
        </w:rPr>
        <w:t xml:space="preserve">    </w:t>
      </w:r>
      <w:r>
        <w:rPr>
          <w:sz w:val="24"/>
        </w:rPr>
        <w:t>（</w:t>
      </w:r>
      <w:r>
        <w:rPr>
          <w:rFonts w:hint="eastAsia"/>
          <w:sz w:val="24"/>
        </w:rPr>
        <w:t>3</w:t>
      </w:r>
      <w:r>
        <w:rPr>
          <w:sz w:val="24"/>
        </w:rPr>
        <w:t>）按本章2.2.4（</w:t>
      </w:r>
      <w:r>
        <w:rPr>
          <w:rFonts w:hint="eastAsia"/>
          <w:sz w:val="24"/>
        </w:rPr>
        <w:t>3</w:t>
      </w:r>
      <w:r>
        <w:rPr>
          <w:sz w:val="24"/>
        </w:rPr>
        <w:t>）目规定的评审因素和分值对</w:t>
      </w:r>
      <w:r>
        <w:rPr>
          <w:rFonts w:hint="eastAsia"/>
          <w:sz w:val="22"/>
          <w:szCs w:val="22"/>
          <w:u w:val="single"/>
        </w:rPr>
        <w:t>造价咨询服务方案</w:t>
      </w:r>
      <w:r>
        <w:rPr>
          <w:sz w:val="24"/>
        </w:rPr>
        <w:t>计算出得分</w:t>
      </w:r>
      <w:r>
        <w:rPr>
          <w:rFonts w:hint="eastAsia"/>
          <w:sz w:val="24"/>
        </w:rPr>
        <w:t>C</w:t>
      </w:r>
    </w:p>
    <w:p>
      <w:pPr>
        <w:snapToGrid w:val="0"/>
        <w:spacing w:line="360" w:lineRule="auto"/>
        <w:ind w:firstLine="480" w:firstLineChars="200"/>
        <w:rPr>
          <w:sz w:val="24"/>
        </w:rPr>
      </w:pPr>
      <w:r>
        <w:rPr>
          <w:sz w:val="24"/>
        </w:rPr>
        <w:t>（</w:t>
      </w:r>
      <w:r>
        <w:rPr>
          <w:rFonts w:hint="eastAsia"/>
          <w:sz w:val="24"/>
        </w:rPr>
        <w:t>4</w:t>
      </w:r>
      <w:r>
        <w:rPr>
          <w:sz w:val="24"/>
        </w:rPr>
        <w:t>）按本章2.2.4（</w:t>
      </w:r>
      <w:r>
        <w:rPr>
          <w:rFonts w:hint="eastAsia"/>
          <w:sz w:val="24"/>
        </w:rPr>
        <w:t>4</w:t>
      </w:r>
      <w:r>
        <w:rPr>
          <w:sz w:val="24"/>
        </w:rPr>
        <w:t>）目规定的评审因素和分值对</w:t>
      </w:r>
      <w:r>
        <w:rPr>
          <w:rFonts w:hint="eastAsia"/>
          <w:sz w:val="24"/>
          <w:u w:val="single"/>
        </w:rPr>
        <w:t>评审价</w:t>
      </w:r>
      <w:r>
        <w:rPr>
          <w:sz w:val="24"/>
        </w:rPr>
        <w:t>计算出得分</w:t>
      </w:r>
      <w:r>
        <w:rPr>
          <w:rFonts w:hint="eastAsia"/>
          <w:sz w:val="24"/>
        </w:rPr>
        <w:t>D</w:t>
      </w:r>
      <w:r>
        <w:rPr>
          <w:sz w:val="24"/>
        </w:rPr>
        <w:t>。</w:t>
      </w:r>
    </w:p>
    <w:p>
      <w:pPr>
        <w:snapToGrid w:val="0"/>
        <w:spacing w:line="360" w:lineRule="auto"/>
        <w:ind w:firstLine="480" w:firstLineChars="200"/>
      </w:pPr>
      <w:r>
        <w:rPr>
          <w:sz w:val="24"/>
        </w:rPr>
        <w:t>除评审价评分项外，评审小组成员对报价人技术</w:t>
      </w:r>
      <w:r>
        <w:rPr>
          <w:rFonts w:hint="eastAsia"/>
          <w:sz w:val="24"/>
        </w:rPr>
        <w:t>评审</w:t>
      </w:r>
      <w:r>
        <w:rPr>
          <w:sz w:val="24"/>
        </w:rPr>
        <w:t>各项因素的</w:t>
      </w:r>
      <w:r>
        <w:rPr>
          <w:rFonts w:hint="eastAsia"/>
          <w:sz w:val="24"/>
        </w:rPr>
        <w:t>主观性</w:t>
      </w:r>
      <w:r>
        <w:rPr>
          <w:sz w:val="24"/>
        </w:rPr>
        <w:t>评分一般不得低于询比文件规定该因素满分值的60%；评分低于满分值60%的，评审小组成员应当在评审报告中作出说明。</w:t>
      </w:r>
    </w:p>
    <w:p>
      <w:pPr>
        <w:snapToGrid w:val="0"/>
        <w:spacing w:line="360" w:lineRule="auto"/>
        <w:ind w:firstLine="480" w:firstLineChars="200"/>
        <w:rPr>
          <w:sz w:val="24"/>
        </w:rPr>
      </w:pPr>
      <w:r>
        <w:rPr>
          <w:sz w:val="24"/>
        </w:rPr>
        <w:t>3.2.2评分分值计算保留小数点后两位，小数点后第三位“四舍五入”。</w:t>
      </w:r>
    </w:p>
    <w:p>
      <w:pPr>
        <w:snapToGrid w:val="0"/>
        <w:spacing w:line="360" w:lineRule="auto"/>
        <w:ind w:firstLine="480" w:firstLineChars="200"/>
        <w:rPr>
          <w:sz w:val="24"/>
        </w:rPr>
      </w:pPr>
      <w:r>
        <w:rPr>
          <w:sz w:val="24"/>
        </w:rPr>
        <w:t>3.2.3</w:t>
      </w:r>
      <w:r>
        <w:rPr>
          <w:rFonts w:hint="eastAsia"/>
          <w:sz w:val="24"/>
        </w:rPr>
        <w:t>响应人总</w:t>
      </w:r>
      <w:r>
        <w:rPr>
          <w:sz w:val="24"/>
        </w:rPr>
        <w:t>得分=A+B+C</w:t>
      </w:r>
      <w:r>
        <w:rPr>
          <w:rFonts w:hint="eastAsia"/>
          <w:sz w:val="24"/>
        </w:rPr>
        <w:t>+D</w:t>
      </w:r>
      <w:r>
        <w:rPr>
          <w:sz w:val="24"/>
        </w:rPr>
        <w:t>。</w:t>
      </w:r>
    </w:p>
    <w:p>
      <w:pPr>
        <w:snapToGrid w:val="0"/>
        <w:spacing w:line="360" w:lineRule="auto"/>
        <w:ind w:firstLine="480" w:firstLineChars="200"/>
        <w:rPr>
          <w:sz w:val="24"/>
        </w:rPr>
      </w:pPr>
      <w:r>
        <w:rPr>
          <w:sz w:val="24"/>
        </w:rPr>
        <w:t>3.2.</w:t>
      </w:r>
      <w:r>
        <w:rPr>
          <w:rFonts w:hint="eastAsia"/>
          <w:sz w:val="24"/>
        </w:rPr>
        <w:t>4</w:t>
      </w:r>
      <w:r>
        <w:rPr>
          <w:sz w:val="24"/>
        </w:rPr>
        <w:t>报价有算术错误的，评审小组按以下原则对报价进行修正，修正的价格经</w:t>
      </w:r>
      <w:r>
        <w:rPr>
          <w:rFonts w:hint="eastAsia"/>
          <w:sz w:val="24"/>
        </w:rPr>
        <w:t>响应人</w:t>
      </w:r>
      <w:r>
        <w:rPr>
          <w:sz w:val="24"/>
        </w:rPr>
        <w:t>书面确认后具有约束力。</w:t>
      </w:r>
      <w:r>
        <w:rPr>
          <w:rFonts w:hint="eastAsia"/>
          <w:sz w:val="24"/>
        </w:rPr>
        <w:t>响应人</w:t>
      </w:r>
      <w:r>
        <w:rPr>
          <w:sz w:val="24"/>
        </w:rPr>
        <w:t>不接受修正价格的，否决其询比资格。</w:t>
      </w:r>
    </w:p>
    <w:p>
      <w:pPr>
        <w:snapToGrid w:val="0"/>
        <w:spacing w:line="360" w:lineRule="auto"/>
        <w:ind w:firstLine="480" w:firstLineChars="200"/>
        <w:rPr>
          <w:sz w:val="24"/>
        </w:rPr>
      </w:pPr>
      <w:r>
        <w:rPr>
          <w:sz w:val="24"/>
        </w:rPr>
        <w:t>（1）报价函中的大写金额与小写金额不一致的，以大写金额为准；</w:t>
      </w:r>
    </w:p>
    <w:p>
      <w:pPr>
        <w:snapToGrid w:val="0"/>
        <w:spacing w:line="360" w:lineRule="auto"/>
        <w:ind w:firstLine="480" w:firstLineChars="200"/>
        <w:rPr>
          <w:sz w:val="24"/>
        </w:rPr>
      </w:pPr>
      <w:r>
        <w:rPr>
          <w:sz w:val="24"/>
        </w:rPr>
        <w:t>（2）总价金额与依据单价计算出的结果不一致的，以单价金额为准修正总价，但单价金额小数点有明显错误的除外。</w:t>
      </w:r>
    </w:p>
    <w:p>
      <w:pPr>
        <w:snapToGrid w:val="0"/>
        <w:spacing w:line="360" w:lineRule="auto"/>
        <w:ind w:firstLine="480" w:firstLineChars="200"/>
        <w:rPr>
          <w:sz w:val="24"/>
        </w:rPr>
      </w:pPr>
      <w:r>
        <w:rPr>
          <w:sz w:val="24"/>
        </w:rPr>
        <w:t>（3）当单价与数量相乘不等于合价时，以单价计算为准；如果单价有明显的小数点位置差错，应以标出的合价为准，同时对单价予以修正。</w:t>
      </w:r>
    </w:p>
    <w:p>
      <w:pPr>
        <w:snapToGrid w:val="0"/>
        <w:spacing w:line="360" w:lineRule="auto"/>
        <w:ind w:firstLine="480" w:firstLineChars="200"/>
        <w:rPr>
          <w:sz w:val="24"/>
        </w:rPr>
      </w:pPr>
      <w:r>
        <w:rPr>
          <w:sz w:val="24"/>
        </w:rPr>
        <w:t>（4）当各子目的合价累计不等于总价时，应以各子目合价累计数为准，修正总价。</w:t>
      </w:r>
    </w:p>
    <w:p>
      <w:pPr>
        <w:snapToGrid w:val="0"/>
        <w:spacing w:line="360" w:lineRule="auto"/>
        <w:ind w:firstLine="480" w:firstLineChars="200"/>
        <w:rPr>
          <w:sz w:val="24"/>
        </w:rPr>
      </w:pPr>
      <w:r>
        <w:rPr>
          <w:sz w:val="24"/>
        </w:rPr>
        <w:t>3.2.</w:t>
      </w:r>
      <w:r>
        <w:rPr>
          <w:rFonts w:hint="eastAsia"/>
          <w:sz w:val="24"/>
        </w:rPr>
        <w:t>5</w:t>
      </w:r>
      <w:r>
        <w:rPr>
          <w:sz w:val="24"/>
        </w:rPr>
        <w:t>报价清单中的报价有其他错误的，评审小组按以下原则对报价进行修正，修正的价格经</w:t>
      </w:r>
      <w:r>
        <w:rPr>
          <w:rFonts w:hint="eastAsia"/>
          <w:sz w:val="24"/>
        </w:rPr>
        <w:t>响应人</w:t>
      </w:r>
      <w:r>
        <w:rPr>
          <w:sz w:val="24"/>
        </w:rPr>
        <w:t>书面确认后具有约束力。</w:t>
      </w:r>
      <w:r>
        <w:rPr>
          <w:rFonts w:hint="eastAsia"/>
          <w:sz w:val="24"/>
        </w:rPr>
        <w:t>响应人</w:t>
      </w:r>
      <w:r>
        <w:rPr>
          <w:sz w:val="24"/>
        </w:rPr>
        <w:t>不接受修正价格的，否决其询比资格。</w:t>
      </w:r>
    </w:p>
    <w:p>
      <w:pPr>
        <w:snapToGrid w:val="0"/>
        <w:spacing w:line="360" w:lineRule="auto"/>
        <w:ind w:firstLine="480" w:firstLineChars="200"/>
        <w:rPr>
          <w:sz w:val="24"/>
        </w:rPr>
      </w:pPr>
      <w:r>
        <w:rPr>
          <w:sz w:val="24"/>
        </w:rPr>
        <w:t>（1）在采购人给定的报价清单中漏报了某个子目的单价、合价或总额价，或所报单价、合价或总额价减少了报价范围，则漏报的工程子目单价、合价和总额价或单价、合价和总额价中减少的报价内容视为已含入其他子目的单价、合价和总额价之中。</w:t>
      </w:r>
    </w:p>
    <w:p>
      <w:pPr>
        <w:snapToGrid w:val="0"/>
        <w:spacing w:line="360" w:lineRule="auto"/>
        <w:ind w:firstLine="480" w:firstLineChars="200"/>
        <w:rPr>
          <w:sz w:val="24"/>
        </w:rPr>
      </w:pPr>
      <w:r>
        <w:rPr>
          <w:sz w:val="24"/>
        </w:rPr>
        <w:t>（2）在采购人给定的报价清单中多报了某个子目的单价、合价或总额价，或所报单价、合价或总额价增加了报价范围，则从报价中扣除多报的子目报价或子目中增加了报价范围的部分报价。</w:t>
      </w:r>
    </w:p>
    <w:p>
      <w:pPr>
        <w:snapToGrid w:val="0"/>
        <w:spacing w:line="360" w:lineRule="auto"/>
        <w:ind w:firstLine="480" w:firstLineChars="200"/>
        <w:rPr>
          <w:sz w:val="24"/>
        </w:rPr>
      </w:pPr>
      <w:r>
        <w:rPr>
          <w:sz w:val="24"/>
        </w:rPr>
        <w:t>（3）当单价与数量的乘积与合价（金额）虽然一致，但</w:t>
      </w:r>
      <w:r>
        <w:rPr>
          <w:rFonts w:hint="eastAsia"/>
          <w:sz w:val="24"/>
        </w:rPr>
        <w:t>响应人</w:t>
      </w:r>
      <w:r>
        <w:rPr>
          <w:sz w:val="24"/>
        </w:rPr>
        <w:t>修改了该子目的工程数量，则其合价按采购人给定的数量乘以</w:t>
      </w:r>
      <w:r>
        <w:rPr>
          <w:rFonts w:hint="eastAsia"/>
          <w:sz w:val="24"/>
        </w:rPr>
        <w:t>响应人</w:t>
      </w:r>
      <w:r>
        <w:rPr>
          <w:sz w:val="24"/>
        </w:rPr>
        <w:t>所报单价予以修正。</w:t>
      </w:r>
    </w:p>
    <w:p>
      <w:pPr>
        <w:snapToGrid w:val="0"/>
        <w:spacing w:line="360" w:lineRule="auto"/>
        <w:ind w:firstLine="480" w:firstLineChars="200"/>
        <w:rPr>
          <w:sz w:val="24"/>
        </w:rPr>
      </w:pPr>
      <w:r>
        <w:rPr>
          <w:sz w:val="24"/>
        </w:rPr>
        <w:t>3.2.</w:t>
      </w:r>
      <w:r>
        <w:rPr>
          <w:rFonts w:hint="eastAsia"/>
          <w:sz w:val="24"/>
        </w:rPr>
        <w:t>6</w:t>
      </w:r>
      <w:r>
        <w:rPr>
          <w:sz w:val="24"/>
        </w:rPr>
        <w:t>修正后的最终报价若超过控制价上限，</w:t>
      </w:r>
      <w:r>
        <w:rPr>
          <w:rFonts w:hint="eastAsia"/>
          <w:sz w:val="24"/>
        </w:rPr>
        <w:t>响应人</w:t>
      </w:r>
      <w:r>
        <w:rPr>
          <w:sz w:val="24"/>
        </w:rPr>
        <w:t>的</w:t>
      </w:r>
      <w:r>
        <w:rPr>
          <w:rFonts w:hint="eastAsia"/>
          <w:sz w:val="24"/>
        </w:rPr>
        <w:t>响应文件</w:t>
      </w:r>
      <w:r>
        <w:rPr>
          <w:sz w:val="24"/>
        </w:rPr>
        <w:t>作无效处理。</w:t>
      </w:r>
    </w:p>
    <w:p>
      <w:pPr>
        <w:snapToGrid w:val="0"/>
        <w:spacing w:line="360" w:lineRule="auto"/>
        <w:ind w:firstLine="480" w:firstLineChars="200"/>
        <w:rPr>
          <w:sz w:val="24"/>
        </w:rPr>
      </w:pPr>
      <w:r>
        <w:rPr>
          <w:sz w:val="24"/>
        </w:rPr>
        <w:t>3.2.</w:t>
      </w:r>
      <w:r>
        <w:rPr>
          <w:rFonts w:hint="eastAsia"/>
          <w:sz w:val="24"/>
        </w:rPr>
        <w:t>7</w:t>
      </w:r>
      <w:r>
        <w:rPr>
          <w:sz w:val="24"/>
        </w:rPr>
        <w:t>修正后的最终报价仅作为签订合同的一个依据，不参与评审价得分的计算。</w:t>
      </w:r>
    </w:p>
    <w:p>
      <w:pPr>
        <w:snapToGrid w:val="0"/>
        <w:spacing w:line="360" w:lineRule="auto"/>
        <w:ind w:firstLine="480" w:firstLineChars="200"/>
        <w:rPr>
          <w:sz w:val="24"/>
        </w:rPr>
      </w:pPr>
      <w:r>
        <w:rPr>
          <w:sz w:val="24"/>
        </w:rPr>
        <w:t>3.2.</w:t>
      </w:r>
      <w:r>
        <w:rPr>
          <w:rFonts w:hint="eastAsia"/>
          <w:sz w:val="24"/>
        </w:rPr>
        <w:t>8</w:t>
      </w:r>
      <w:r>
        <w:rPr>
          <w:sz w:val="24"/>
        </w:rPr>
        <w:t>评审小组发现</w:t>
      </w:r>
      <w:r>
        <w:rPr>
          <w:rFonts w:hint="eastAsia"/>
          <w:sz w:val="24"/>
        </w:rPr>
        <w:t>响应人</w:t>
      </w:r>
      <w:r>
        <w:rPr>
          <w:sz w:val="24"/>
        </w:rPr>
        <w:t>的报价明显低于其他</w:t>
      </w:r>
      <w:r>
        <w:rPr>
          <w:rFonts w:hint="eastAsia"/>
          <w:sz w:val="24"/>
        </w:rPr>
        <w:t>响应人</w:t>
      </w:r>
      <w:r>
        <w:rPr>
          <w:sz w:val="24"/>
        </w:rPr>
        <w:t>报价或者在设有标底时明显低于标底的，应当要求该</w:t>
      </w:r>
      <w:r>
        <w:rPr>
          <w:rFonts w:hint="eastAsia"/>
          <w:sz w:val="24"/>
        </w:rPr>
        <w:t>响应人</w:t>
      </w:r>
      <w:r>
        <w:rPr>
          <w:sz w:val="24"/>
        </w:rPr>
        <w:t>对相应报价作出书面说明，并提供相关证明材料。</w:t>
      </w:r>
    </w:p>
    <w:p>
      <w:pPr>
        <w:snapToGrid w:val="0"/>
        <w:spacing w:line="360" w:lineRule="auto"/>
        <w:ind w:firstLine="480" w:firstLineChars="200"/>
        <w:rPr>
          <w:b/>
          <w:sz w:val="24"/>
        </w:rPr>
      </w:pPr>
      <w:r>
        <w:rPr>
          <w:rFonts w:hint="eastAsia"/>
          <w:sz w:val="24"/>
        </w:rPr>
        <w:t>响应人</w:t>
      </w:r>
      <w:r>
        <w:rPr>
          <w:sz w:val="24"/>
        </w:rPr>
        <w:t>不能证明可以按照其报价以及</w:t>
      </w:r>
      <w:r>
        <w:rPr>
          <w:rFonts w:hint="eastAsia"/>
          <w:sz w:val="24"/>
        </w:rPr>
        <w:t>采购文件</w:t>
      </w:r>
      <w:r>
        <w:rPr>
          <w:sz w:val="24"/>
        </w:rPr>
        <w:t>规定的质量标准和履行期限完成询比项目的，评审小组应当认定该</w:t>
      </w:r>
      <w:r>
        <w:rPr>
          <w:rFonts w:hint="eastAsia"/>
          <w:sz w:val="24"/>
        </w:rPr>
        <w:t>响应人</w:t>
      </w:r>
      <w:r>
        <w:rPr>
          <w:sz w:val="24"/>
        </w:rPr>
        <w:t>以低于成本价竞标，并否决其询比。</w:t>
      </w:r>
    </w:p>
    <w:p>
      <w:pPr>
        <w:snapToGrid w:val="0"/>
        <w:spacing w:line="360" w:lineRule="auto"/>
        <w:ind w:firstLine="480" w:firstLineChars="200"/>
        <w:rPr>
          <w:sz w:val="24"/>
        </w:rPr>
      </w:pPr>
      <w:r>
        <w:rPr>
          <w:sz w:val="24"/>
        </w:rPr>
        <w:t>3.2.</w:t>
      </w:r>
      <w:r>
        <w:rPr>
          <w:rFonts w:hint="eastAsia"/>
          <w:sz w:val="24"/>
        </w:rPr>
        <w:t>9响应人</w:t>
      </w:r>
      <w:r>
        <w:rPr>
          <w:sz w:val="24"/>
        </w:rPr>
        <w:t>有以下情形之一的，否决其询比：</w:t>
      </w:r>
    </w:p>
    <w:p>
      <w:pPr>
        <w:snapToGrid w:val="0"/>
        <w:spacing w:line="360" w:lineRule="auto"/>
        <w:ind w:firstLine="480" w:firstLineChars="200"/>
        <w:rPr>
          <w:sz w:val="24"/>
        </w:rPr>
      </w:pPr>
      <w:r>
        <w:rPr>
          <w:sz w:val="24"/>
        </w:rPr>
        <w:t>（1）串通询比或弄虚作假或有其他违法行为的；</w:t>
      </w:r>
    </w:p>
    <w:p>
      <w:pPr>
        <w:snapToGrid w:val="0"/>
        <w:spacing w:line="360" w:lineRule="auto"/>
        <w:ind w:firstLine="480" w:firstLineChars="200"/>
        <w:rPr>
          <w:sz w:val="24"/>
        </w:rPr>
      </w:pPr>
      <w:r>
        <w:rPr>
          <w:sz w:val="24"/>
        </w:rPr>
        <w:t>（2）不按评审小组要求澄清、说明或补正的。</w:t>
      </w:r>
    </w:p>
    <w:p>
      <w:pPr>
        <w:pStyle w:val="154"/>
        <w:snapToGrid w:val="0"/>
        <w:spacing w:line="360" w:lineRule="auto"/>
        <w:rPr>
          <w:sz w:val="24"/>
        </w:rPr>
      </w:pPr>
      <w:r>
        <w:rPr>
          <w:sz w:val="24"/>
        </w:rPr>
        <w:t xml:space="preserve">3.3 </w:t>
      </w:r>
      <w:r>
        <w:rPr>
          <w:rFonts w:hint="eastAsia"/>
          <w:sz w:val="24"/>
        </w:rPr>
        <w:t>响应文件</w:t>
      </w:r>
      <w:r>
        <w:rPr>
          <w:sz w:val="24"/>
        </w:rPr>
        <w:t>的澄清和补正</w:t>
      </w:r>
    </w:p>
    <w:p>
      <w:pPr>
        <w:snapToGrid w:val="0"/>
        <w:spacing w:line="360" w:lineRule="auto"/>
        <w:ind w:firstLine="480" w:firstLineChars="200"/>
        <w:rPr>
          <w:sz w:val="24"/>
        </w:rPr>
      </w:pPr>
      <w:r>
        <w:rPr>
          <w:sz w:val="24"/>
        </w:rPr>
        <w:t>3.3.1在评审过程中，评审小组可以书面形式要求</w:t>
      </w:r>
      <w:r>
        <w:rPr>
          <w:rFonts w:hint="eastAsia"/>
          <w:sz w:val="24"/>
        </w:rPr>
        <w:t>响应人</w:t>
      </w:r>
      <w:r>
        <w:rPr>
          <w:sz w:val="24"/>
        </w:rPr>
        <w:t>对所提交</w:t>
      </w:r>
      <w:r>
        <w:rPr>
          <w:rFonts w:hint="eastAsia"/>
          <w:sz w:val="24"/>
        </w:rPr>
        <w:t>响应文件</w:t>
      </w:r>
      <w:r>
        <w:rPr>
          <w:sz w:val="24"/>
        </w:rPr>
        <w:t>中不明确的内容进行书面澄清或说明，或者对细微偏差进行补正。评审小组不接受</w:t>
      </w:r>
      <w:r>
        <w:rPr>
          <w:rFonts w:hint="eastAsia"/>
          <w:sz w:val="24"/>
        </w:rPr>
        <w:t>响应人</w:t>
      </w:r>
      <w:r>
        <w:rPr>
          <w:sz w:val="24"/>
        </w:rPr>
        <w:t>主动提出的澄清、说明或补正。</w:t>
      </w:r>
    </w:p>
    <w:p>
      <w:pPr>
        <w:snapToGrid w:val="0"/>
        <w:spacing w:line="360" w:lineRule="auto"/>
        <w:ind w:firstLine="480" w:firstLineChars="200"/>
        <w:rPr>
          <w:sz w:val="24"/>
        </w:rPr>
      </w:pPr>
      <w:r>
        <w:rPr>
          <w:sz w:val="24"/>
        </w:rPr>
        <w:t>3.3.2 澄清、说明和补正不得改变</w:t>
      </w:r>
      <w:r>
        <w:rPr>
          <w:rFonts w:hint="eastAsia"/>
          <w:sz w:val="24"/>
        </w:rPr>
        <w:t>响应文件</w:t>
      </w:r>
      <w:r>
        <w:rPr>
          <w:sz w:val="24"/>
        </w:rPr>
        <w:t>的实质性内容（算术性错误修正的除外）。</w:t>
      </w:r>
      <w:r>
        <w:rPr>
          <w:rFonts w:hint="eastAsia"/>
          <w:sz w:val="24"/>
        </w:rPr>
        <w:t>响应人</w:t>
      </w:r>
      <w:r>
        <w:rPr>
          <w:sz w:val="24"/>
        </w:rPr>
        <w:t>的书面澄清、说明和补正属于</w:t>
      </w:r>
      <w:r>
        <w:rPr>
          <w:rFonts w:hint="eastAsia"/>
          <w:sz w:val="24"/>
        </w:rPr>
        <w:t>响应文件</w:t>
      </w:r>
      <w:r>
        <w:rPr>
          <w:sz w:val="24"/>
        </w:rPr>
        <w:t>的组成部分。</w:t>
      </w:r>
    </w:p>
    <w:p>
      <w:pPr>
        <w:snapToGrid w:val="0"/>
        <w:spacing w:line="360" w:lineRule="auto"/>
        <w:ind w:firstLine="480" w:firstLineChars="200"/>
        <w:rPr>
          <w:sz w:val="24"/>
        </w:rPr>
      </w:pPr>
      <w:r>
        <w:rPr>
          <w:sz w:val="24"/>
        </w:rPr>
        <w:t>3.3.3 评审小组对</w:t>
      </w:r>
      <w:r>
        <w:rPr>
          <w:rFonts w:hint="eastAsia"/>
          <w:sz w:val="24"/>
        </w:rPr>
        <w:t>响应人</w:t>
      </w:r>
      <w:r>
        <w:rPr>
          <w:sz w:val="24"/>
        </w:rPr>
        <w:t>提交的澄清、说明或补正有疑问的，可以要求</w:t>
      </w:r>
      <w:r>
        <w:rPr>
          <w:rFonts w:hint="eastAsia"/>
          <w:sz w:val="24"/>
        </w:rPr>
        <w:t>响应人</w:t>
      </w:r>
      <w:r>
        <w:rPr>
          <w:sz w:val="24"/>
        </w:rPr>
        <w:t>进一步澄清、说明或补正，直至满足评审小组的要求。</w:t>
      </w:r>
    </w:p>
    <w:p>
      <w:pPr>
        <w:snapToGrid w:val="0"/>
        <w:spacing w:line="360" w:lineRule="auto"/>
        <w:ind w:firstLine="480" w:firstLineChars="200"/>
        <w:rPr>
          <w:sz w:val="24"/>
        </w:rPr>
      </w:pPr>
      <w:r>
        <w:rPr>
          <w:sz w:val="24"/>
        </w:rPr>
        <w:t>3.3.4凡超出</w:t>
      </w:r>
      <w:r>
        <w:rPr>
          <w:rFonts w:hint="eastAsia"/>
          <w:sz w:val="24"/>
        </w:rPr>
        <w:t>采购文件</w:t>
      </w:r>
      <w:r>
        <w:rPr>
          <w:sz w:val="24"/>
        </w:rPr>
        <w:t>规定的或给发包人带来未曾要求的利益的变化、偏差或其他因素在评审时不予考虑。</w:t>
      </w:r>
    </w:p>
    <w:p>
      <w:pPr>
        <w:pStyle w:val="154"/>
        <w:snapToGrid w:val="0"/>
        <w:spacing w:line="360" w:lineRule="auto"/>
        <w:rPr>
          <w:sz w:val="24"/>
        </w:rPr>
      </w:pPr>
      <w:r>
        <w:rPr>
          <w:sz w:val="24"/>
        </w:rPr>
        <w:t>3.4 评审结果</w:t>
      </w:r>
    </w:p>
    <w:p>
      <w:pPr>
        <w:snapToGrid w:val="0"/>
        <w:spacing w:line="360" w:lineRule="auto"/>
        <w:ind w:firstLine="480" w:firstLineChars="200"/>
        <w:rPr>
          <w:sz w:val="24"/>
        </w:rPr>
      </w:pPr>
      <w:r>
        <w:rPr>
          <w:sz w:val="24"/>
        </w:rPr>
        <w:t>3.4.1评审小组计算</w:t>
      </w:r>
      <w:r>
        <w:rPr>
          <w:rFonts w:hint="eastAsia"/>
          <w:sz w:val="24"/>
        </w:rPr>
        <w:t>响应文件</w:t>
      </w:r>
      <w:r>
        <w:rPr>
          <w:sz w:val="24"/>
        </w:rPr>
        <w:t>综合评分＝技术评审得分＋</w:t>
      </w:r>
      <w:r>
        <w:rPr>
          <w:rFonts w:hint="eastAsia"/>
          <w:sz w:val="24"/>
        </w:rPr>
        <w:t>商务</w:t>
      </w:r>
      <w:r>
        <w:rPr>
          <w:sz w:val="24"/>
        </w:rPr>
        <w:t>报价评审得分。</w:t>
      </w:r>
    </w:p>
    <w:p>
      <w:pPr>
        <w:snapToGrid w:val="0"/>
        <w:spacing w:line="360" w:lineRule="auto"/>
        <w:ind w:firstLine="480" w:firstLineChars="200"/>
        <w:rPr>
          <w:sz w:val="24"/>
        </w:rPr>
      </w:pPr>
      <w:r>
        <w:rPr>
          <w:sz w:val="24"/>
        </w:rPr>
        <w:t>3.4.2除第二章“</w:t>
      </w:r>
      <w:r>
        <w:rPr>
          <w:rFonts w:hint="eastAsia"/>
          <w:sz w:val="24"/>
        </w:rPr>
        <w:t>响应人</w:t>
      </w:r>
      <w:r>
        <w:rPr>
          <w:sz w:val="24"/>
        </w:rPr>
        <w:t>须知”前附表授权直接确定成交人外，评审小组按照综合评分由高到低的顺序推荐成交候选人。</w:t>
      </w:r>
    </w:p>
    <w:p>
      <w:pPr>
        <w:snapToGrid w:val="0"/>
        <w:spacing w:line="360" w:lineRule="auto"/>
        <w:ind w:firstLine="480" w:firstLineChars="200"/>
        <w:rPr>
          <w:sz w:val="24"/>
        </w:rPr>
      </w:pPr>
      <w:r>
        <w:rPr>
          <w:sz w:val="24"/>
        </w:rPr>
        <w:t>3.4.3评审完成后，评审小组应当向采购人提交书面评审报告。评审报告中推荐的成交候选人应当不超过3个，并标明排序。</w:t>
      </w:r>
    </w:p>
    <w:p>
      <w:pPr>
        <w:snapToGrid w:val="0"/>
        <w:spacing w:line="360" w:lineRule="auto"/>
        <w:ind w:firstLine="480" w:firstLineChars="200"/>
        <w:rPr>
          <w:sz w:val="24"/>
        </w:rPr>
      </w:pPr>
      <w:r>
        <w:rPr>
          <w:sz w:val="24"/>
        </w:rPr>
        <w:t>评审报告应当载明下列内容：</w:t>
      </w:r>
    </w:p>
    <w:p>
      <w:pPr>
        <w:snapToGrid w:val="0"/>
        <w:spacing w:line="360" w:lineRule="auto"/>
        <w:ind w:firstLine="480" w:firstLineChars="200"/>
        <w:rPr>
          <w:sz w:val="24"/>
        </w:rPr>
      </w:pPr>
      <w:r>
        <w:rPr>
          <w:sz w:val="24"/>
        </w:rPr>
        <w:t>（一）采购项目基本情况</w:t>
      </w:r>
    </w:p>
    <w:p>
      <w:pPr>
        <w:snapToGrid w:val="0"/>
        <w:spacing w:line="360" w:lineRule="auto"/>
        <w:ind w:firstLine="480" w:firstLineChars="200"/>
        <w:rPr>
          <w:sz w:val="24"/>
        </w:rPr>
      </w:pPr>
      <w:r>
        <w:rPr>
          <w:sz w:val="24"/>
        </w:rPr>
        <w:t>（二）采购过程回顾</w:t>
      </w:r>
    </w:p>
    <w:p>
      <w:pPr>
        <w:snapToGrid w:val="0"/>
        <w:spacing w:line="360" w:lineRule="auto"/>
        <w:ind w:firstLine="480" w:firstLineChars="200"/>
        <w:rPr>
          <w:sz w:val="24"/>
        </w:rPr>
      </w:pPr>
      <w:r>
        <w:rPr>
          <w:sz w:val="24"/>
        </w:rPr>
        <w:t>（三）评审小组成员名单</w:t>
      </w:r>
    </w:p>
    <w:p>
      <w:pPr>
        <w:snapToGrid w:val="0"/>
        <w:spacing w:line="360" w:lineRule="auto"/>
        <w:ind w:firstLine="480" w:firstLineChars="200"/>
        <w:rPr>
          <w:sz w:val="24"/>
        </w:rPr>
      </w:pPr>
      <w:r>
        <w:rPr>
          <w:sz w:val="24"/>
        </w:rPr>
        <w:t>（四）询比评审工作</w:t>
      </w:r>
    </w:p>
    <w:p>
      <w:pPr>
        <w:snapToGrid w:val="0"/>
        <w:spacing w:line="360" w:lineRule="auto"/>
        <w:ind w:firstLine="480" w:firstLineChars="200"/>
        <w:rPr>
          <w:sz w:val="24"/>
        </w:rPr>
      </w:pPr>
      <w:r>
        <w:rPr>
          <w:sz w:val="24"/>
        </w:rPr>
        <w:t>1、评审办法</w:t>
      </w:r>
    </w:p>
    <w:p>
      <w:pPr>
        <w:snapToGrid w:val="0"/>
        <w:spacing w:line="360" w:lineRule="auto"/>
        <w:ind w:firstLine="480" w:firstLineChars="200"/>
        <w:rPr>
          <w:sz w:val="24"/>
        </w:rPr>
      </w:pPr>
      <w:r>
        <w:rPr>
          <w:sz w:val="24"/>
        </w:rPr>
        <w:t>2、初步评审情况（资格审查、形式性审查、响应性审查）</w:t>
      </w:r>
    </w:p>
    <w:p>
      <w:pPr>
        <w:snapToGrid w:val="0"/>
        <w:spacing w:line="360" w:lineRule="auto"/>
        <w:ind w:firstLine="480" w:firstLineChars="200"/>
        <w:rPr>
          <w:sz w:val="24"/>
        </w:rPr>
      </w:pPr>
      <w:r>
        <w:rPr>
          <w:sz w:val="24"/>
        </w:rPr>
        <w:t>3、</w:t>
      </w:r>
      <w:r>
        <w:rPr>
          <w:rFonts w:hint="eastAsia"/>
          <w:sz w:val="24"/>
        </w:rPr>
        <w:t>响应人</w:t>
      </w:r>
      <w:r>
        <w:rPr>
          <w:sz w:val="24"/>
        </w:rPr>
        <w:t>的综合评分情况</w:t>
      </w:r>
    </w:p>
    <w:p>
      <w:pPr>
        <w:snapToGrid w:val="0"/>
        <w:spacing w:line="360" w:lineRule="auto"/>
        <w:ind w:firstLine="480" w:firstLineChars="200"/>
        <w:rPr>
          <w:sz w:val="24"/>
        </w:rPr>
      </w:pPr>
      <w:r>
        <w:rPr>
          <w:sz w:val="24"/>
        </w:rPr>
        <w:t>4、否决的</w:t>
      </w:r>
      <w:r>
        <w:rPr>
          <w:rFonts w:hint="eastAsia"/>
          <w:sz w:val="24"/>
        </w:rPr>
        <w:t>响应人</w:t>
      </w:r>
      <w:r>
        <w:rPr>
          <w:sz w:val="24"/>
        </w:rPr>
        <w:t>名单以及否决理由（如有）</w:t>
      </w:r>
    </w:p>
    <w:p>
      <w:pPr>
        <w:snapToGrid w:val="0"/>
        <w:spacing w:line="360" w:lineRule="auto"/>
        <w:ind w:firstLine="480" w:firstLineChars="200"/>
        <w:rPr>
          <w:sz w:val="24"/>
        </w:rPr>
      </w:pPr>
      <w:r>
        <w:rPr>
          <w:sz w:val="24"/>
        </w:rPr>
        <w:t>5、推荐成交候选人排序</w:t>
      </w:r>
    </w:p>
    <w:p>
      <w:pPr>
        <w:snapToGrid w:val="0"/>
        <w:spacing w:line="360" w:lineRule="auto"/>
        <w:ind w:firstLine="480" w:firstLineChars="200"/>
        <w:rPr>
          <w:sz w:val="24"/>
        </w:rPr>
      </w:pPr>
      <w:r>
        <w:rPr>
          <w:sz w:val="24"/>
        </w:rPr>
        <w:t>（五）需要说明的其他事项</w:t>
      </w:r>
    </w:p>
    <w:p>
      <w:pPr>
        <w:snapToGrid w:val="0"/>
        <w:spacing w:line="360" w:lineRule="auto"/>
        <w:ind w:firstLine="480" w:firstLineChars="200"/>
        <w:rPr>
          <w:sz w:val="24"/>
        </w:rPr>
      </w:pPr>
      <w:r>
        <w:rPr>
          <w:sz w:val="24"/>
        </w:rPr>
        <w:t>（六）评审附表。</w:t>
      </w:r>
    </w:p>
    <w:p>
      <w:pPr>
        <w:snapToGrid w:val="0"/>
        <w:spacing w:line="360" w:lineRule="auto"/>
        <w:ind w:firstLine="480" w:firstLineChars="200"/>
        <w:rPr>
          <w:sz w:val="24"/>
        </w:rPr>
      </w:pPr>
      <w:r>
        <w:rPr>
          <w:sz w:val="24"/>
        </w:rPr>
        <w:t>1、</w:t>
      </w:r>
      <w:r>
        <w:rPr>
          <w:rFonts w:hint="eastAsia"/>
          <w:sz w:val="24"/>
        </w:rPr>
        <w:t>响应文件</w:t>
      </w:r>
      <w:r>
        <w:rPr>
          <w:sz w:val="24"/>
        </w:rPr>
        <w:t>开封记录表</w:t>
      </w:r>
    </w:p>
    <w:p>
      <w:pPr>
        <w:snapToGrid w:val="0"/>
        <w:spacing w:line="360" w:lineRule="auto"/>
        <w:ind w:firstLine="480" w:firstLineChars="200"/>
        <w:jc w:val="left"/>
        <w:rPr>
          <w:b/>
        </w:rPr>
      </w:pPr>
      <w:r>
        <w:rPr>
          <w:sz w:val="24"/>
        </w:rPr>
        <w:t>2、评审表格</w:t>
      </w:r>
    </w:p>
    <w:p>
      <w:pPr>
        <w:spacing w:before="156"/>
        <w:jc w:val="center"/>
        <w:rPr>
          <w:b/>
        </w:rPr>
      </w:pPr>
    </w:p>
    <w:p>
      <w:pPr>
        <w:spacing w:before="156"/>
        <w:jc w:val="center"/>
        <w:outlineLvl w:val="0"/>
        <w:rPr>
          <w:sz w:val="36"/>
          <w:szCs w:val="36"/>
        </w:rPr>
      </w:pPr>
      <w:bookmarkStart w:id="14" w:name="_Toc241227271"/>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p>
    <w:p>
      <w:pPr>
        <w:spacing w:before="156"/>
        <w:jc w:val="center"/>
        <w:outlineLvl w:val="0"/>
        <w:rPr>
          <w:sz w:val="36"/>
          <w:szCs w:val="36"/>
        </w:rPr>
      </w:pPr>
      <w:bookmarkStart w:id="15" w:name="_Toc523927115"/>
      <w:r>
        <w:rPr>
          <w:sz w:val="36"/>
          <w:szCs w:val="36"/>
        </w:rPr>
        <w:t>第四章</w:t>
      </w:r>
      <w:r>
        <w:rPr>
          <w:rFonts w:hint="eastAsia"/>
          <w:sz w:val="36"/>
          <w:szCs w:val="36"/>
        </w:rPr>
        <w:t xml:space="preserve"> </w:t>
      </w:r>
      <w:r>
        <w:rPr>
          <w:sz w:val="36"/>
          <w:szCs w:val="36"/>
        </w:rPr>
        <w:t xml:space="preserve"> 合同条款</w:t>
      </w:r>
      <w:bookmarkEnd w:id="15"/>
    </w:p>
    <w:p>
      <w:pPr>
        <w:rPr>
          <w:sz w:val="36"/>
          <w:szCs w:val="36"/>
        </w:rPr>
      </w:pPr>
      <w:r>
        <w:rPr>
          <w:sz w:val="36"/>
          <w:szCs w:val="36"/>
        </w:rPr>
        <w:br w:type="page"/>
      </w:r>
    </w:p>
    <w:p>
      <w:pPr>
        <w:spacing w:line="360" w:lineRule="auto"/>
        <w:jc w:val="center"/>
        <w:rPr>
          <w:rFonts w:ascii="宋体" w:hAnsi="宋体" w:cs="仿宋_GB2312"/>
          <w:b/>
          <w:bCs/>
          <w:color w:val="000000"/>
          <w:sz w:val="24"/>
        </w:rPr>
      </w:pPr>
      <w:r>
        <w:rPr>
          <w:rFonts w:hint="eastAsia" w:ascii="宋体" w:hAnsi="宋体" w:cs="仿宋_GB2312"/>
          <w:b/>
          <w:bCs/>
          <w:color w:val="000000"/>
          <w:sz w:val="24"/>
        </w:rPr>
        <w:t>安联湾区时代总承包工程造价咨询服务合同</w:t>
      </w:r>
    </w:p>
    <w:p>
      <w:pPr>
        <w:spacing w:line="360" w:lineRule="auto"/>
        <w:rPr>
          <w:rFonts w:ascii="宋体" w:hAnsi="宋体" w:cs="仿宋_GB2312"/>
          <w:color w:val="000000"/>
          <w:szCs w:val="21"/>
        </w:rPr>
      </w:pPr>
    </w:p>
    <w:p>
      <w:pPr>
        <w:spacing w:line="360" w:lineRule="auto"/>
        <w:rPr>
          <w:rFonts w:ascii="宋体" w:hAnsi="宋体" w:cs="仿宋_GB2312"/>
          <w:color w:val="000000"/>
          <w:sz w:val="24"/>
          <w:u w:val="single"/>
        </w:rPr>
      </w:pPr>
      <w:r>
        <w:rPr>
          <w:rFonts w:hint="eastAsia" w:ascii="宋体" w:hAnsi="宋体" w:cs="仿宋_GB2312"/>
          <w:color w:val="000000"/>
          <w:sz w:val="24"/>
        </w:rPr>
        <w:t>甲方：</w:t>
      </w:r>
      <w:r>
        <w:rPr>
          <w:rFonts w:hint="eastAsia" w:ascii="宋体" w:hAnsi="宋体" w:cs="仿宋_GB2312"/>
          <w:color w:val="000000"/>
          <w:sz w:val="24"/>
          <w:u w:val="single"/>
        </w:rPr>
        <w:t xml:space="preserve"> 东莞市安之联置业有限公司  </w:t>
      </w:r>
    </w:p>
    <w:p>
      <w:pPr>
        <w:spacing w:line="360" w:lineRule="auto"/>
        <w:rPr>
          <w:rFonts w:ascii="宋体" w:hAnsi="宋体" w:cs="仿宋_GB2312"/>
          <w:color w:val="000000"/>
          <w:sz w:val="24"/>
        </w:rPr>
      </w:pPr>
      <w:r>
        <w:rPr>
          <w:rFonts w:hint="eastAsia" w:ascii="宋体" w:hAnsi="宋体" w:cs="仿宋_GB2312"/>
          <w:color w:val="000000"/>
          <w:sz w:val="24"/>
        </w:rPr>
        <w:t>乙方：</w:t>
      </w:r>
      <w:r>
        <w:rPr>
          <w:rFonts w:hint="eastAsia" w:ascii="宋体" w:hAnsi="宋体" w:cs="仿宋_GB2312"/>
          <w:color w:val="000000"/>
          <w:sz w:val="24"/>
          <w:u w:val="single"/>
        </w:rPr>
        <w:t xml:space="preserve">                          </w:t>
      </w:r>
    </w:p>
    <w:p>
      <w:pPr>
        <w:spacing w:line="360" w:lineRule="auto"/>
        <w:rPr>
          <w:rFonts w:ascii="宋体" w:hAnsi="宋体" w:cs="仿宋_GB2312"/>
          <w:color w:val="000000"/>
          <w:sz w:val="24"/>
        </w:rPr>
      </w:pPr>
      <w:r>
        <w:rPr>
          <w:rFonts w:hint="eastAsia" w:ascii="宋体" w:hAnsi="宋体" w:cs="仿宋_GB2312"/>
          <w:color w:val="000000"/>
          <w:sz w:val="24"/>
        </w:rPr>
        <w:t xml:space="preserve">  根据《中华人民共和国合同法》及其他有关法律、法规，遵循平等、自愿、公平和诚实信用的原则，双方就安联湾区时代项目总承包工程造价咨询服务事项协商一致，订立本合同。</w:t>
      </w:r>
    </w:p>
    <w:p>
      <w:pPr>
        <w:pStyle w:val="49"/>
        <w:numPr>
          <w:ilvl w:val="0"/>
          <w:numId w:val="4"/>
        </w:numPr>
        <w:spacing w:line="360" w:lineRule="auto"/>
        <w:rPr>
          <w:rFonts w:cs="仿宋_GB2312"/>
          <w:color w:val="000000"/>
        </w:rPr>
      </w:pPr>
      <w:r>
        <w:rPr>
          <w:rFonts w:hint="eastAsia" w:cs="仿宋_GB2312"/>
          <w:color w:val="000000"/>
        </w:rPr>
        <w:t>咨询工程概况</w:t>
      </w:r>
    </w:p>
    <w:p>
      <w:pPr>
        <w:pStyle w:val="49"/>
        <w:numPr>
          <w:ilvl w:val="0"/>
          <w:numId w:val="5"/>
        </w:numPr>
        <w:spacing w:line="360" w:lineRule="auto"/>
        <w:rPr>
          <w:rFonts w:cs="仿宋_GB2312"/>
          <w:color w:val="000000"/>
        </w:rPr>
      </w:pPr>
      <w:r>
        <w:rPr>
          <w:rFonts w:hint="eastAsia" w:cs="仿宋_GB2312"/>
          <w:color w:val="000000"/>
        </w:rPr>
        <w:t>工程名称：</w:t>
      </w:r>
      <w:r>
        <w:rPr>
          <w:rFonts w:hint="eastAsia" w:cs="仿宋_GB2312"/>
          <w:color w:val="000000"/>
          <w:u w:val="single"/>
        </w:rPr>
        <w:t xml:space="preserve"> </w:t>
      </w:r>
      <w:r>
        <w:rPr>
          <w:rFonts w:hint="eastAsia" w:ascii="宋体" w:hAnsi="宋体" w:cs="仿宋_GB2312"/>
          <w:color w:val="000000"/>
          <w:u w:val="single"/>
        </w:rPr>
        <w:t>安联湾区时代项目总承包工程</w:t>
      </w:r>
      <w:r>
        <w:rPr>
          <w:rFonts w:hint="eastAsia" w:cs="仿宋_GB2312"/>
          <w:color w:val="000000"/>
          <w:u w:val="single"/>
        </w:rPr>
        <w:t xml:space="preserve">  </w:t>
      </w:r>
      <w:r>
        <w:rPr>
          <w:rFonts w:hint="eastAsia" w:cs="仿宋_GB2312"/>
          <w:color w:val="000000"/>
        </w:rPr>
        <w:t xml:space="preserve"> </w:t>
      </w:r>
    </w:p>
    <w:p>
      <w:pPr>
        <w:pStyle w:val="49"/>
        <w:spacing w:line="360" w:lineRule="auto"/>
        <w:rPr>
          <w:rFonts w:cs="仿宋_GB2312"/>
          <w:color w:val="000000"/>
        </w:rPr>
      </w:pPr>
      <w:r>
        <w:rPr>
          <w:rFonts w:hint="eastAsia" w:cs="仿宋_GB2312"/>
          <w:color w:val="000000"/>
        </w:rPr>
        <w:t xml:space="preserve">    2、工程地点：</w:t>
      </w:r>
      <w:r>
        <w:rPr>
          <w:rFonts w:hint="eastAsia" w:cs="仿宋_GB2312"/>
          <w:color w:val="000000"/>
          <w:u w:val="single"/>
        </w:rPr>
        <w:t xml:space="preserve">  </w:t>
      </w:r>
      <w:r>
        <w:rPr>
          <w:rFonts w:hint="eastAsia" w:ascii="宋体" w:hAnsi="宋体"/>
          <w:szCs w:val="21"/>
          <w:u w:val="single"/>
        </w:rPr>
        <w:t>东莞市高埗镇莞潢南路与高龙路平交处</w:t>
      </w:r>
      <w:r>
        <w:rPr>
          <w:rFonts w:hint="eastAsia" w:cs="仿宋_GB2312"/>
          <w:color w:val="000000"/>
          <w:u w:val="single"/>
        </w:rPr>
        <w:t xml:space="preserve">     </w:t>
      </w:r>
      <w:r>
        <w:rPr>
          <w:rFonts w:hint="eastAsia" w:cs="仿宋_GB2312"/>
          <w:color w:val="000000"/>
        </w:rPr>
        <w:t xml:space="preserve">   </w:t>
      </w:r>
    </w:p>
    <w:p>
      <w:pPr>
        <w:pStyle w:val="49"/>
        <w:spacing w:line="360" w:lineRule="auto"/>
        <w:rPr>
          <w:rFonts w:cs="仿宋_GB2312"/>
          <w:color w:val="000000"/>
          <w:u w:val="single"/>
        </w:rPr>
      </w:pPr>
      <w:r>
        <w:rPr>
          <w:rFonts w:hint="eastAsia" w:cs="仿宋_GB2312"/>
          <w:color w:val="000000"/>
        </w:rPr>
        <w:t xml:space="preserve">    3、工程规模：</w:t>
      </w:r>
      <w:r>
        <w:rPr>
          <w:rFonts w:hint="eastAsia" w:cs="仿宋_GB2312"/>
          <w:color w:val="000000"/>
          <w:u w:val="single"/>
        </w:rPr>
        <w:t xml:space="preserve">   </w:t>
      </w:r>
      <w:r>
        <w:rPr>
          <w:rFonts w:hint="eastAsia" w:ascii="宋体" w:hAnsi="宋体"/>
          <w:szCs w:val="21"/>
          <w:u w:val="single"/>
        </w:rPr>
        <w:t>本项目用地面积约48911.7平方米，建筑面积约170000平方米,建筑高度≤80米，包括7栋精装修高层住宅楼（26层）、4栋精装修小高层住宅楼（18层）、12栋多层住宅楼（4层）及多层商业及配套公建（1-2层）和地下室工程（1层，局部2层，含人防）,最终以工程规划许可证的工程建设规模为准</w:t>
      </w:r>
      <w:r>
        <w:rPr>
          <w:rFonts w:hint="eastAsia" w:cs="仿宋_GB2312"/>
          <w:color w:val="000000"/>
          <w:u w:val="single"/>
        </w:rPr>
        <w:t>。</w:t>
      </w:r>
      <w:r>
        <w:rPr>
          <w:rFonts w:hint="eastAsia"/>
          <w:u w:val="single"/>
        </w:rPr>
        <w:t>本项目总承包工程预估投资额为</w:t>
      </w:r>
      <w:r>
        <w:rPr>
          <w:u w:val="single"/>
        </w:rPr>
        <w:t>5.74</w:t>
      </w:r>
      <w:r>
        <w:rPr>
          <w:rFonts w:hint="eastAsia"/>
          <w:u w:val="single"/>
        </w:rPr>
        <w:t>亿元。</w:t>
      </w:r>
      <w:r>
        <w:rPr>
          <w:rFonts w:cs="仿宋_GB2312"/>
          <w:color w:val="000000"/>
          <w:u w:val="single"/>
        </w:rPr>
        <w:t xml:space="preserve">     </w:t>
      </w:r>
    </w:p>
    <w:p>
      <w:pPr>
        <w:pStyle w:val="49"/>
        <w:numPr>
          <w:ilvl w:val="0"/>
          <w:numId w:val="4"/>
        </w:numPr>
        <w:spacing w:line="360" w:lineRule="auto"/>
        <w:rPr>
          <w:rFonts w:cs="仿宋_GB2312"/>
          <w:color w:val="000000"/>
        </w:rPr>
      </w:pPr>
      <w:r>
        <w:rPr>
          <w:rFonts w:hint="eastAsia" w:cs="仿宋_GB2312"/>
          <w:color w:val="000000"/>
        </w:rPr>
        <w:t>工程造价咨询范围及内容</w:t>
      </w:r>
    </w:p>
    <w:p>
      <w:pPr>
        <w:pStyle w:val="49"/>
        <w:spacing w:line="360" w:lineRule="auto"/>
        <w:ind w:firstLine="480"/>
        <w:rPr>
          <w:rFonts w:cs="仿宋_GB2312"/>
          <w:color w:val="000000"/>
        </w:rPr>
      </w:pPr>
      <w:r>
        <w:rPr>
          <w:rFonts w:hint="eastAsia" w:cs="仿宋_GB2312"/>
          <w:color w:val="000000"/>
        </w:rPr>
        <w:t>根据甲方提供的施工图纸、招标文件及答疑文件，并依据相关法律、法规、计价规范，对本工程进行工程量清单（包括</w:t>
      </w:r>
      <w:r>
        <w:rPr>
          <w:rFonts w:hint="eastAsia" w:cs="仿宋_GB2312"/>
          <w:color w:val="000000"/>
          <w:lang w:val="en-US" w:eastAsia="zh-CN"/>
        </w:rPr>
        <w:t>但不限于</w:t>
      </w:r>
      <w:r>
        <w:rPr>
          <w:rFonts w:hint="eastAsia" w:cs="仿宋_GB2312"/>
          <w:color w:val="000000"/>
        </w:rPr>
        <w:t>钢筋抽筋计算）、招标控制价编制，并在总包招标前后配合甲方与相关单位进行核对、复查工作。</w:t>
      </w:r>
    </w:p>
    <w:p>
      <w:pPr>
        <w:pStyle w:val="49"/>
        <w:numPr>
          <w:ilvl w:val="0"/>
          <w:numId w:val="4"/>
        </w:numPr>
        <w:spacing w:line="360" w:lineRule="auto"/>
        <w:rPr>
          <w:rFonts w:cs="仿宋_GB2312"/>
          <w:color w:val="000000"/>
        </w:rPr>
      </w:pPr>
      <w:r>
        <w:rPr>
          <w:rFonts w:hint="eastAsia" w:cs="仿宋_GB2312"/>
          <w:color w:val="000000"/>
        </w:rPr>
        <w:t>质量要求</w:t>
      </w:r>
    </w:p>
    <w:p>
      <w:pPr>
        <w:pStyle w:val="49"/>
        <w:spacing w:line="360" w:lineRule="auto"/>
        <w:rPr>
          <w:rFonts w:cs="仿宋_GB2312"/>
          <w:color w:val="000000"/>
        </w:rPr>
      </w:pPr>
      <w:r>
        <w:rPr>
          <w:rFonts w:hint="eastAsia" w:cs="仿宋_GB2312"/>
          <w:color w:val="000000"/>
        </w:rPr>
        <w:t>1、清单编制要求</w:t>
      </w:r>
    </w:p>
    <w:p>
      <w:pPr>
        <w:pStyle w:val="49"/>
        <w:spacing w:line="360" w:lineRule="auto"/>
        <w:ind w:firstLine="480" w:firstLineChars="200"/>
        <w:rPr>
          <w:rFonts w:cs="仿宋_GB2312"/>
          <w:color w:val="000000"/>
        </w:rPr>
      </w:pPr>
      <w:r>
        <w:rPr>
          <w:rFonts w:hint="eastAsia" w:cs="仿宋_GB2312"/>
          <w:color w:val="000000"/>
        </w:rPr>
        <w:t>（1）工程量清单及编制说明须按甲方模板编制；</w:t>
      </w:r>
    </w:p>
    <w:p>
      <w:pPr>
        <w:pStyle w:val="49"/>
        <w:spacing w:line="360" w:lineRule="auto"/>
        <w:ind w:firstLine="480" w:firstLineChars="200"/>
      </w:pPr>
      <w:r>
        <w:rPr>
          <w:rFonts w:hint="eastAsia"/>
        </w:rPr>
        <w:t xml:space="preserve">（2）总包工程须按照甲方下发的《清单及控制价要求》编制并做好相应的指标分析； </w:t>
      </w:r>
    </w:p>
    <w:p>
      <w:pPr>
        <w:spacing w:line="360" w:lineRule="auto"/>
        <w:ind w:firstLine="435"/>
        <w:rPr>
          <w:rFonts w:cs="仿宋_GB2312"/>
          <w:color w:val="000000"/>
          <w:sz w:val="24"/>
        </w:rPr>
      </w:pPr>
      <w:r>
        <w:rPr>
          <w:rFonts w:hint="eastAsia" w:cs="仿宋_GB2312"/>
          <w:color w:val="000000"/>
          <w:sz w:val="24"/>
        </w:rPr>
        <w:t>（3）清单工程量计算准确，重大子项清单量（如钢筋、砼、砌体、保温、防水、外装饰等）误差率不得超过±3%；</w:t>
      </w:r>
    </w:p>
    <w:p>
      <w:pPr>
        <w:spacing w:line="360" w:lineRule="auto"/>
        <w:ind w:firstLine="435"/>
        <w:rPr>
          <w:rFonts w:cs="仿宋_GB2312"/>
          <w:color w:val="000000"/>
          <w:sz w:val="24"/>
        </w:rPr>
      </w:pPr>
      <w:r>
        <w:rPr>
          <w:rFonts w:hint="eastAsia" w:cs="仿宋_GB2312"/>
          <w:color w:val="000000"/>
          <w:sz w:val="24"/>
        </w:rPr>
        <w:t>（4）清单项目特征描述须清晰准确；</w:t>
      </w:r>
    </w:p>
    <w:p>
      <w:pPr>
        <w:spacing w:line="360" w:lineRule="auto"/>
        <w:ind w:firstLine="435"/>
        <w:rPr>
          <w:rFonts w:cs="仿宋_GB2312"/>
          <w:color w:val="000000"/>
          <w:sz w:val="24"/>
        </w:rPr>
      </w:pPr>
      <w:r>
        <w:rPr>
          <w:rFonts w:hint="eastAsia" w:cs="仿宋_GB2312"/>
          <w:color w:val="000000"/>
          <w:sz w:val="24"/>
        </w:rPr>
        <w:t>（5）清单项不得出现重大子项漏项、错项；漏项清单的总造价不得超过控制价的0.5％。</w:t>
      </w:r>
    </w:p>
    <w:p>
      <w:pPr>
        <w:pStyle w:val="49"/>
        <w:spacing w:line="360" w:lineRule="auto"/>
        <w:rPr>
          <w:rFonts w:cs="仿宋_GB2312"/>
          <w:color w:val="000000"/>
        </w:rPr>
      </w:pPr>
      <w:r>
        <w:rPr>
          <w:rFonts w:hint="eastAsia" w:cs="仿宋_GB2312"/>
          <w:color w:val="000000"/>
        </w:rPr>
        <w:t>2、控制价编制要求</w:t>
      </w:r>
    </w:p>
    <w:p>
      <w:pPr>
        <w:pStyle w:val="49"/>
        <w:spacing w:line="360" w:lineRule="auto"/>
        <w:ind w:firstLine="480"/>
        <w:rPr>
          <w:rFonts w:cs="仿宋_GB2312"/>
          <w:color w:val="000000"/>
        </w:rPr>
      </w:pPr>
      <w:r>
        <w:rPr>
          <w:rFonts w:hint="eastAsia" w:cs="仿宋_GB2312"/>
          <w:color w:val="000000"/>
        </w:rPr>
        <w:t>（1）总包工程须按照甲方下发的《清单及控制价要求》编制并做好相应的指标分析；</w:t>
      </w:r>
    </w:p>
    <w:p>
      <w:pPr>
        <w:pStyle w:val="49"/>
        <w:spacing w:line="360" w:lineRule="auto"/>
        <w:ind w:firstLine="480"/>
        <w:rPr>
          <w:rFonts w:cs="仿宋_GB2312"/>
          <w:color w:val="000000"/>
        </w:rPr>
      </w:pPr>
      <w:r>
        <w:rPr>
          <w:rFonts w:hint="eastAsia" w:cs="仿宋_GB2312"/>
          <w:color w:val="000000"/>
        </w:rPr>
        <w:t>（2）控制价中工程类别取费费率、不可竞争费费率、计费基数、规费等须按相关规定计取；</w:t>
      </w:r>
    </w:p>
    <w:p>
      <w:pPr>
        <w:pStyle w:val="49"/>
        <w:spacing w:line="360" w:lineRule="auto"/>
        <w:ind w:firstLine="480"/>
        <w:rPr>
          <w:rFonts w:cs="仿宋_GB2312"/>
          <w:color w:val="000000"/>
        </w:rPr>
      </w:pPr>
      <w:r>
        <w:rPr>
          <w:rFonts w:hint="eastAsia" w:cs="仿宋_GB2312"/>
          <w:color w:val="000000"/>
        </w:rPr>
        <w:t>（3）控制价组价定额选用合理准确，不得擅自提高或降低定额人工、材料、机械消耗量；</w:t>
      </w:r>
    </w:p>
    <w:p>
      <w:pPr>
        <w:pStyle w:val="49"/>
        <w:spacing w:line="360" w:lineRule="auto"/>
        <w:ind w:firstLine="480"/>
        <w:rPr>
          <w:rFonts w:cs="仿宋_GB2312"/>
          <w:color w:val="000000"/>
        </w:rPr>
      </w:pPr>
      <w:r>
        <w:rPr>
          <w:rFonts w:hint="eastAsia" w:cs="仿宋_GB2312"/>
          <w:color w:val="000000"/>
        </w:rPr>
        <w:t>（4）控制价中工程量较大的主材(材料费用占单位工程总材料费用20％以上的)价格偏差不超过20％；</w:t>
      </w:r>
    </w:p>
    <w:p>
      <w:pPr>
        <w:spacing w:line="360" w:lineRule="auto"/>
        <w:ind w:firstLine="435"/>
        <w:rPr>
          <w:rFonts w:ascii="宋体" w:hAnsi="宋体" w:cs="仿宋_GB2312"/>
          <w:color w:val="000000"/>
          <w:kern w:val="0"/>
          <w:sz w:val="24"/>
        </w:rPr>
      </w:pPr>
      <w:r>
        <w:rPr>
          <w:rFonts w:hint="eastAsia" w:ascii="宋体" w:hAnsi="宋体" w:cs="仿宋_GB2312"/>
          <w:color w:val="000000"/>
          <w:kern w:val="0"/>
          <w:sz w:val="24"/>
        </w:rPr>
        <w:t>（5）控制价主材有信息价的须按信息价计取；无信息价的按照市场价计取。</w:t>
      </w:r>
    </w:p>
    <w:p>
      <w:pPr>
        <w:spacing w:line="360" w:lineRule="auto"/>
        <w:ind w:firstLine="435"/>
        <w:rPr>
          <w:rFonts w:cs="仿宋_GB2312"/>
          <w:color w:val="000000"/>
        </w:rPr>
      </w:pPr>
    </w:p>
    <w:p>
      <w:pPr>
        <w:pStyle w:val="49"/>
        <w:numPr>
          <w:ilvl w:val="0"/>
          <w:numId w:val="4"/>
        </w:numPr>
        <w:spacing w:line="360" w:lineRule="auto"/>
        <w:rPr>
          <w:rFonts w:cs="仿宋_GB2312"/>
          <w:color w:val="000000"/>
        </w:rPr>
      </w:pPr>
      <w:r>
        <w:rPr>
          <w:rFonts w:hint="eastAsia" w:cs="仿宋_GB2312"/>
          <w:color w:val="000000"/>
        </w:rPr>
        <w:t>工期和成果要求</w:t>
      </w:r>
    </w:p>
    <w:p>
      <w:pPr>
        <w:pStyle w:val="49"/>
        <w:spacing w:line="360" w:lineRule="auto"/>
        <w:rPr>
          <w:rFonts w:cs="仿宋_GB2312"/>
          <w:color w:val="000000"/>
        </w:rPr>
      </w:pPr>
      <w:r>
        <w:rPr>
          <w:rFonts w:hint="eastAsia" w:cs="仿宋_GB2312"/>
          <w:color w:val="000000"/>
        </w:rPr>
        <w:t xml:space="preserve">     1、乙方自收到甲方提供的完整咨询资料后</w:t>
      </w:r>
      <w:r>
        <w:rPr>
          <w:rFonts w:hint="eastAsia" w:cs="仿宋_GB2312"/>
          <w:color w:val="000000"/>
          <w:u w:val="single"/>
        </w:rPr>
        <w:t xml:space="preserve"> 15 </w:t>
      </w:r>
      <w:r>
        <w:rPr>
          <w:rFonts w:hint="eastAsia" w:cs="仿宋_GB2312"/>
          <w:color w:val="000000"/>
        </w:rPr>
        <w:t>日历天内完成工程量清单编制并向甲方提交工作成果；乙方自清单确定后</w:t>
      </w:r>
      <w:r>
        <w:rPr>
          <w:rFonts w:hint="eastAsia" w:cs="仿宋_GB2312"/>
          <w:color w:val="000000"/>
          <w:u w:val="single"/>
        </w:rPr>
        <w:t xml:space="preserve"> 3 </w:t>
      </w:r>
      <w:r>
        <w:rPr>
          <w:rFonts w:hint="eastAsia" w:cs="仿宋_GB2312"/>
          <w:color w:val="000000"/>
        </w:rPr>
        <w:t>日历天内完成控制价编制并向甲方提交工作成果。</w:t>
      </w:r>
    </w:p>
    <w:p>
      <w:pPr>
        <w:pStyle w:val="49"/>
        <w:spacing w:line="360" w:lineRule="auto"/>
        <w:rPr>
          <w:rFonts w:cs="仿宋_GB2312"/>
          <w:color w:val="000000"/>
        </w:rPr>
      </w:pPr>
      <w:r>
        <w:rPr>
          <w:rFonts w:hint="eastAsia" w:ascii="宋体" w:hAnsi="宋体"/>
        </w:rPr>
        <w:t xml:space="preserve">     2、</w:t>
      </w:r>
      <w:r>
        <w:rPr>
          <w:rFonts w:hint="eastAsia"/>
        </w:rPr>
        <w:t>甲方核对</w:t>
      </w:r>
      <w:r>
        <w:rPr>
          <w:rFonts w:hint="eastAsia" w:cs="仿宋_GB2312"/>
          <w:color w:val="000000"/>
          <w:lang w:val="en-US" w:eastAsia="zh-CN"/>
        </w:rPr>
        <w:t>工程量清单及招标控制价成果文件</w:t>
      </w:r>
      <w:r>
        <w:rPr>
          <w:rFonts w:hint="eastAsia"/>
        </w:rPr>
        <w:t>确认后三天内乙方提供咨询成果报告一式二份提交甲方（每份须单位盖章及负责人签字盖章。（含预算软件电子版本、EXCEL转化版以及当地电子招标平台要求文件类型转化版）</w:t>
      </w:r>
    </w:p>
    <w:p>
      <w:pPr>
        <w:pStyle w:val="49"/>
        <w:numPr>
          <w:ilvl w:val="0"/>
          <w:numId w:val="4"/>
        </w:numPr>
        <w:spacing w:line="360" w:lineRule="auto"/>
        <w:rPr>
          <w:rFonts w:cs="仿宋_GB2312"/>
          <w:color w:val="000000"/>
        </w:rPr>
      </w:pPr>
      <w:r>
        <w:rPr>
          <w:rFonts w:hint="eastAsia" w:cs="仿宋_GB2312"/>
          <w:color w:val="000000"/>
        </w:rPr>
        <w:t>咨询费用</w:t>
      </w:r>
    </w:p>
    <w:p>
      <w:pPr>
        <w:pStyle w:val="49"/>
        <w:numPr>
          <w:ilvl w:val="255"/>
          <w:numId w:val="0"/>
        </w:numPr>
        <w:spacing w:line="360" w:lineRule="auto"/>
        <w:rPr>
          <w:rFonts w:cs="仿宋_GB2312"/>
          <w:color w:val="000000"/>
        </w:rPr>
      </w:pPr>
      <w:r>
        <w:rPr>
          <w:rFonts w:hint="eastAsia" w:cs="仿宋_GB2312"/>
          <w:color w:val="000000"/>
        </w:rPr>
        <w:t>本合同金额：</w:t>
      </w:r>
      <w:r>
        <w:rPr>
          <w:rFonts w:hint="eastAsia" w:cs="仿宋_GB2312"/>
          <w:color w:val="000000"/>
          <w:u w:val="single"/>
        </w:rPr>
        <w:t xml:space="preserve">       （人民币大写：  ）</w:t>
      </w:r>
      <w:r>
        <w:rPr>
          <w:rFonts w:hint="eastAsia" w:cs="仿宋_GB2312"/>
          <w:color w:val="000000"/>
        </w:rPr>
        <w:t>，本合同为固定总价合同，含税（其中增值税率为6%）；</w:t>
      </w:r>
    </w:p>
    <w:p>
      <w:pPr>
        <w:pStyle w:val="49"/>
        <w:numPr>
          <w:ilvl w:val="0"/>
          <w:numId w:val="4"/>
        </w:numPr>
        <w:spacing w:line="360" w:lineRule="auto"/>
        <w:rPr>
          <w:rFonts w:cs="仿宋_GB2312"/>
          <w:color w:val="000000"/>
        </w:rPr>
      </w:pPr>
      <w:r>
        <w:rPr>
          <w:rFonts w:hint="eastAsia" w:cs="仿宋_GB2312"/>
          <w:color w:val="000000"/>
        </w:rPr>
        <w:t>成果确认及支付</w:t>
      </w:r>
    </w:p>
    <w:p>
      <w:pPr>
        <w:pStyle w:val="49"/>
        <w:spacing w:line="360" w:lineRule="auto"/>
        <w:ind w:firstLine="480" w:firstLineChars="200"/>
        <w:rPr>
          <w:rFonts w:cs="仿宋_GB2312"/>
          <w:color w:val="000000"/>
        </w:rPr>
      </w:pPr>
      <w:r>
        <w:rPr>
          <w:rFonts w:hint="eastAsia" w:cs="仿宋_GB2312"/>
          <w:color w:val="000000"/>
        </w:rPr>
        <w:t>乙方向甲方提交</w:t>
      </w:r>
      <w:r>
        <w:rPr>
          <w:rFonts w:hint="eastAsia" w:cs="仿宋_GB2312"/>
          <w:color w:val="000000"/>
          <w:lang w:val="en-US" w:eastAsia="zh-CN"/>
        </w:rPr>
        <w:t>工程量清单及招标控制价成果文件、</w:t>
      </w:r>
      <w:r>
        <w:rPr>
          <w:rFonts w:hint="eastAsia"/>
        </w:rPr>
        <w:t>成果报告</w:t>
      </w:r>
      <w:r>
        <w:rPr>
          <w:rFonts w:hint="eastAsia"/>
          <w:lang w:eastAsia="zh-CN"/>
        </w:rPr>
        <w:t>，</w:t>
      </w:r>
      <w:r>
        <w:rPr>
          <w:rFonts w:hint="eastAsia" w:cs="仿宋_GB2312"/>
          <w:color w:val="000000"/>
        </w:rPr>
        <w:t>甲方审核确认后办理咨询费用结算，乙方全额提供合规的</w:t>
      </w:r>
      <w:r>
        <w:rPr>
          <w:rFonts w:hint="eastAsia" w:cs="仿宋_GB2312"/>
          <w:color w:val="000000" w:themeColor="text1"/>
          <w14:textFill>
            <w14:solidFill>
              <w14:schemeClr w14:val="tx1"/>
            </w14:solidFill>
          </w14:textFill>
        </w:rPr>
        <w:t>增值税专用发票后付款至</w:t>
      </w:r>
      <w:r>
        <w:rPr>
          <w:rFonts w:hint="eastAsia" w:cs="仿宋_GB2312"/>
          <w:color w:val="000000" w:themeColor="text1"/>
          <w:lang w:val="en-US" w:eastAsia="zh-CN"/>
          <w14:textFill>
            <w14:solidFill>
              <w14:schemeClr w14:val="tx1"/>
            </w14:solidFill>
          </w14:textFill>
        </w:rPr>
        <w:t>合同价款</w:t>
      </w:r>
      <w:r>
        <w:rPr>
          <w:rFonts w:hint="eastAsia" w:cs="仿宋_GB2312"/>
          <w:color w:val="000000"/>
        </w:rPr>
        <w:t>的80%，</w:t>
      </w:r>
      <w:r>
        <w:rPr>
          <w:rFonts w:hint="eastAsia" w:cs="仿宋_GB2312"/>
          <w:color w:val="000000"/>
          <w:lang w:val="en-US" w:eastAsia="zh-CN"/>
        </w:rPr>
        <w:t>因乙方原因未提供符合甲方要求的发票导致付款迟延，甲方不承担任何责任。</w:t>
      </w:r>
      <w:r>
        <w:rPr>
          <w:rFonts w:hint="eastAsia" w:cs="仿宋_GB2312"/>
          <w:color w:val="000000"/>
        </w:rPr>
        <w:t>如有质量问题，相应违约金同时扣除，余款在无质量问题的情况下满壹年后一次性无息支付。</w:t>
      </w:r>
    </w:p>
    <w:p>
      <w:pPr>
        <w:pStyle w:val="49"/>
        <w:numPr>
          <w:ilvl w:val="0"/>
          <w:numId w:val="4"/>
        </w:numPr>
        <w:spacing w:line="360" w:lineRule="auto"/>
        <w:rPr>
          <w:rFonts w:cs="仿宋_GB2312"/>
          <w:color w:val="000000"/>
        </w:rPr>
      </w:pPr>
      <w:r>
        <w:rPr>
          <w:rFonts w:hint="eastAsia" w:cs="仿宋_GB2312"/>
          <w:color w:val="000000"/>
        </w:rPr>
        <w:t>违约责任</w:t>
      </w:r>
    </w:p>
    <w:p>
      <w:pPr>
        <w:pStyle w:val="49"/>
        <w:numPr>
          <w:ilvl w:val="0"/>
          <w:numId w:val="6"/>
        </w:numPr>
        <w:spacing w:line="360" w:lineRule="auto"/>
        <w:ind w:left="0" w:firstLine="480" w:firstLineChars="200"/>
        <w:rPr>
          <w:rFonts w:cs="仿宋_GB2312"/>
          <w:color w:val="000000"/>
        </w:rPr>
      </w:pPr>
      <w:r>
        <w:rPr>
          <w:rFonts w:hint="eastAsia" w:cs="仿宋_GB2312"/>
          <w:color w:val="000000"/>
        </w:rPr>
        <w:t>乙方签订本合同后，应按东莞当地主管部门规定自行办理造价咨询机构执业备案；如因未及时备案导致甲方损失的，</w:t>
      </w:r>
      <w:r>
        <w:rPr>
          <w:rFonts w:hint="eastAsia" w:cs="仿宋_GB2312"/>
          <w:color w:val="000000"/>
          <w:lang w:val="en-US" w:eastAsia="zh-CN"/>
        </w:rPr>
        <w:t>甲方有权解除合同，</w:t>
      </w:r>
      <w:r>
        <w:rPr>
          <w:rFonts w:hint="eastAsia" w:cs="仿宋_GB2312"/>
          <w:color w:val="000000"/>
        </w:rPr>
        <w:t>乙方应对造成的损失予以赔偿。</w:t>
      </w:r>
    </w:p>
    <w:p>
      <w:pPr>
        <w:pStyle w:val="49"/>
        <w:numPr>
          <w:ilvl w:val="0"/>
          <w:numId w:val="6"/>
        </w:numPr>
        <w:spacing w:line="360" w:lineRule="auto"/>
        <w:ind w:left="0" w:firstLine="480" w:firstLineChars="200"/>
        <w:rPr>
          <w:rFonts w:cs="仿宋_GB2312"/>
          <w:color w:val="000000"/>
        </w:rPr>
      </w:pPr>
      <w:r>
        <w:rPr>
          <w:rFonts w:hint="eastAsia" w:cs="仿宋_GB2312"/>
          <w:color w:val="000000"/>
        </w:rPr>
        <w:t>乙方逾期提交工作成果，每延迟一天，按咨询</w:t>
      </w:r>
      <w:r>
        <w:rPr>
          <w:rFonts w:hint="eastAsia" w:cs="仿宋_GB2312"/>
          <w:color w:val="000000"/>
          <w:lang w:val="en-US" w:eastAsia="zh-CN"/>
        </w:rPr>
        <w:t>服务合同金额</w:t>
      </w:r>
      <w:r>
        <w:rPr>
          <w:rFonts w:hint="eastAsia" w:cs="仿宋_GB2312"/>
          <w:color w:val="000000"/>
        </w:rPr>
        <w:t>5％向甲方支付违约金，逾期达十日的，甲方有权解除合同，乙方应全额退还甲方已支付的费用，并向甲方支付咨询</w:t>
      </w:r>
      <w:r>
        <w:rPr>
          <w:rFonts w:hint="eastAsia" w:cs="仿宋_GB2312"/>
          <w:color w:val="000000"/>
          <w:lang w:val="en-US" w:eastAsia="zh-CN"/>
        </w:rPr>
        <w:t>服务合同金额</w:t>
      </w:r>
      <w:r>
        <w:rPr>
          <w:rFonts w:cs="仿宋_GB2312"/>
          <w:color w:val="000000"/>
        </w:rPr>
        <w:t>10%</w:t>
      </w:r>
      <w:r>
        <w:rPr>
          <w:rFonts w:hint="eastAsia" w:cs="仿宋_GB2312"/>
          <w:color w:val="000000"/>
        </w:rPr>
        <w:t>的违约金；</w:t>
      </w:r>
    </w:p>
    <w:p>
      <w:pPr>
        <w:pStyle w:val="49"/>
        <w:numPr>
          <w:ilvl w:val="0"/>
          <w:numId w:val="6"/>
        </w:numPr>
        <w:spacing w:line="360" w:lineRule="auto"/>
        <w:ind w:left="0" w:firstLine="480" w:firstLineChars="200"/>
        <w:rPr>
          <w:rFonts w:cs="仿宋_GB2312"/>
          <w:color w:val="000000"/>
        </w:rPr>
      </w:pPr>
      <w:r>
        <w:rPr>
          <w:rFonts w:hint="eastAsia" w:cs="仿宋_GB2312"/>
          <w:color w:val="000000"/>
        </w:rPr>
        <w:t>乙方提交</w:t>
      </w:r>
      <w:r>
        <w:rPr>
          <w:rFonts w:hint="eastAsia" w:cs="仿宋_GB2312"/>
          <w:color w:val="000000"/>
        </w:rPr>
        <w:t>工作</w:t>
      </w:r>
      <w:r>
        <w:rPr>
          <w:rFonts w:hint="eastAsia" w:cs="仿宋_GB2312"/>
          <w:color w:val="000000"/>
        </w:rPr>
        <w:t>成果</w:t>
      </w:r>
      <w:r>
        <w:rPr>
          <w:rFonts w:hint="eastAsia" w:cs="仿宋_GB2312"/>
          <w:color w:val="000000"/>
        </w:rPr>
        <w:t>经甲方等复查，</w:t>
      </w:r>
      <w:r>
        <w:rPr>
          <w:rFonts w:hint="eastAsia" w:ascii="宋体" w:hAnsi="宋体" w:cs="仿宋_GB2312"/>
          <w:color w:val="000000"/>
          <w:kern w:val="0"/>
        </w:rPr>
        <w:t>如出现超出本合同第三条质量要求规定偏差范围的情况，将根据情况按</w:t>
      </w:r>
      <w:r>
        <w:rPr>
          <w:rFonts w:hint="eastAsia" w:cs="仿宋_GB2312"/>
          <w:color w:val="000000"/>
        </w:rPr>
        <w:t>咨询</w:t>
      </w:r>
      <w:r>
        <w:rPr>
          <w:rFonts w:hint="eastAsia" w:cs="仿宋_GB2312"/>
          <w:color w:val="000000"/>
          <w:lang w:val="en-US" w:eastAsia="zh-CN"/>
        </w:rPr>
        <w:t>服务合同金额</w:t>
      </w:r>
      <w:r>
        <w:rPr>
          <w:rFonts w:ascii="宋体" w:hAnsi="宋体" w:cs="仿宋_GB2312"/>
          <w:color w:val="000000"/>
          <w:kern w:val="0"/>
        </w:rPr>
        <w:t>5%-10%向甲方</w:t>
      </w:r>
      <w:r>
        <w:rPr>
          <w:rFonts w:hint="eastAsia" w:ascii="宋体" w:hAnsi="宋体" w:cs="仿宋_GB2312"/>
          <w:color w:val="000000"/>
          <w:kern w:val="0"/>
          <w:lang w:val="en-US" w:eastAsia="zh-CN"/>
        </w:rPr>
        <w:t>或采购人</w:t>
      </w:r>
      <w:r>
        <w:rPr>
          <w:rFonts w:ascii="宋体" w:hAnsi="宋体" w:cs="仿宋_GB2312"/>
          <w:color w:val="000000"/>
          <w:kern w:val="0"/>
        </w:rPr>
        <w:t>支付违约金，具体违约金数额由甲方在前述标准内确定。情节严重的将对乙方停止委派任务直至解除</w:t>
      </w:r>
      <w:r>
        <w:rPr>
          <w:rFonts w:hint="eastAsia" w:ascii="宋体" w:hAnsi="宋体" w:cs="仿宋_GB2312"/>
          <w:color w:val="000000"/>
          <w:kern w:val="0"/>
        </w:rPr>
        <w:t>合同，造成甲方损失的，乙方</w:t>
      </w:r>
      <w:r>
        <w:rPr>
          <w:rFonts w:ascii="宋体" w:hAnsi="宋体" w:cs="仿宋_GB2312"/>
          <w:color w:val="000000"/>
          <w:kern w:val="0"/>
        </w:rPr>
        <w:t>还应对所造成的损失予以赔偿。</w:t>
      </w:r>
    </w:p>
    <w:p>
      <w:pPr>
        <w:pStyle w:val="49"/>
        <w:numPr>
          <w:ilvl w:val="0"/>
          <w:numId w:val="6"/>
        </w:numPr>
        <w:spacing w:line="360" w:lineRule="auto"/>
        <w:ind w:left="0" w:firstLine="480" w:firstLineChars="200"/>
        <w:rPr>
          <w:rFonts w:cs="仿宋_GB2312"/>
          <w:color w:val="auto"/>
        </w:rPr>
      </w:pPr>
      <w:r>
        <w:rPr>
          <w:rFonts w:hint="eastAsia" w:cs="仿宋_GB2312"/>
          <w:color w:val="000000"/>
        </w:rPr>
        <w:t>乙方损害甲方利益的（包括但不限于与他方串通侵害甲方利益的行为），甲方有权解除合同，乙方应全额退还甲方已支付的费用，并向甲方支付咨询</w:t>
      </w:r>
      <w:r>
        <w:rPr>
          <w:rFonts w:hint="eastAsia" w:cs="仿宋_GB2312"/>
          <w:color w:val="000000"/>
          <w:lang w:val="en-US" w:eastAsia="zh-CN"/>
        </w:rPr>
        <w:t>服务合同金额</w:t>
      </w:r>
      <w:r>
        <w:rPr>
          <w:rFonts w:hint="eastAsia" w:cs="仿宋_GB2312"/>
          <w:color w:val="000000"/>
        </w:rPr>
        <w:t>10%的违约金，情节严重的直接追</w:t>
      </w:r>
      <w:r>
        <w:rPr>
          <w:rFonts w:hint="eastAsia" w:cs="仿宋_GB2312"/>
          <w:color w:val="auto"/>
        </w:rPr>
        <w:t>究</w:t>
      </w:r>
      <w:r>
        <w:rPr>
          <w:rFonts w:hint="eastAsia" w:cs="仿宋_GB2312"/>
          <w:color w:val="auto"/>
          <w:lang w:val="en-US" w:eastAsia="zh-CN"/>
        </w:rPr>
        <w:t>法律</w:t>
      </w:r>
      <w:r>
        <w:rPr>
          <w:rFonts w:hint="eastAsia" w:cs="仿宋_GB2312"/>
          <w:color w:val="auto"/>
        </w:rPr>
        <w:t>责任；</w:t>
      </w:r>
    </w:p>
    <w:p>
      <w:pPr>
        <w:pStyle w:val="49"/>
        <w:numPr>
          <w:ilvl w:val="0"/>
          <w:numId w:val="6"/>
        </w:numPr>
        <w:spacing w:line="360" w:lineRule="auto"/>
        <w:ind w:left="0" w:firstLine="480" w:firstLineChars="200"/>
        <w:rPr>
          <w:rFonts w:cs="仿宋_GB2312"/>
          <w:color w:val="000000"/>
        </w:rPr>
      </w:pPr>
      <w:r>
        <w:rPr>
          <w:rFonts w:hint="eastAsia" w:cs="仿宋_GB2312"/>
          <w:color w:val="auto"/>
        </w:rPr>
        <w:t>乙方泄露甲方秘密的，甲方可以解除本合同，乙方应全额退还甲方已支付的费用并向甲方支付咨询</w:t>
      </w:r>
      <w:r>
        <w:rPr>
          <w:rFonts w:hint="eastAsia" w:cs="仿宋_GB2312"/>
          <w:color w:val="auto"/>
          <w:lang w:val="en-US" w:eastAsia="zh-CN"/>
        </w:rPr>
        <w:t>服务合同金额</w:t>
      </w:r>
      <w:r>
        <w:rPr>
          <w:rFonts w:hint="eastAsia" w:cs="仿宋_GB2312"/>
          <w:color w:val="auto"/>
        </w:rPr>
        <w:t>10%的违约金，情节严重的直接追究</w:t>
      </w:r>
      <w:r>
        <w:rPr>
          <w:rFonts w:hint="eastAsia" w:cs="仿宋_GB2312"/>
          <w:color w:val="auto"/>
          <w:lang w:val="en-US" w:eastAsia="zh-CN"/>
        </w:rPr>
        <w:t>其</w:t>
      </w:r>
      <w:r>
        <w:rPr>
          <w:rFonts w:hint="eastAsia" w:cs="仿宋_GB2312"/>
          <w:color w:val="auto"/>
          <w:lang w:val="en-US" w:eastAsia="zh-CN"/>
        </w:rPr>
        <w:t>法律</w:t>
      </w:r>
      <w:r>
        <w:rPr>
          <w:rFonts w:hint="eastAsia" w:cs="仿宋_GB2312"/>
          <w:color w:val="000000"/>
        </w:rPr>
        <w:t>责任；</w:t>
      </w:r>
    </w:p>
    <w:p>
      <w:pPr>
        <w:pStyle w:val="49"/>
        <w:numPr>
          <w:ilvl w:val="0"/>
          <w:numId w:val="6"/>
        </w:numPr>
        <w:spacing w:line="360" w:lineRule="auto"/>
        <w:ind w:left="0" w:firstLine="480" w:firstLineChars="200"/>
        <w:rPr>
          <w:rFonts w:cs="仿宋_GB2312"/>
          <w:color w:val="000000"/>
        </w:rPr>
      </w:pPr>
      <w:r>
        <w:rPr>
          <w:rFonts w:hint="eastAsia" w:cs="仿宋_GB2312"/>
          <w:color w:val="000000"/>
        </w:rPr>
        <w:t>乙方违反本合同约定的其他义务或责任的,甲方可以解除合同，乙方应全额退还甲方已支付的费用并向甲方支付咨询</w:t>
      </w:r>
      <w:r>
        <w:rPr>
          <w:rFonts w:hint="eastAsia" w:cs="仿宋_GB2312"/>
          <w:color w:val="000000"/>
          <w:lang w:val="en-US" w:eastAsia="zh-CN"/>
        </w:rPr>
        <w:t>服务合同金额</w:t>
      </w:r>
      <w:r>
        <w:rPr>
          <w:rFonts w:hint="eastAsia" w:cs="仿宋_GB2312"/>
          <w:color w:val="000000"/>
        </w:rPr>
        <w:t>10%的违约金，情节严重的直接追究刑事责任；</w:t>
      </w:r>
    </w:p>
    <w:p>
      <w:pPr>
        <w:pStyle w:val="49"/>
        <w:numPr>
          <w:ilvl w:val="0"/>
          <w:numId w:val="6"/>
        </w:numPr>
        <w:spacing w:line="360" w:lineRule="auto"/>
        <w:ind w:left="0" w:firstLine="480" w:firstLineChars="200"/>
        <w:rPr>
          <w:rFonts w:cs="仿宋_GB2312"/>
          <w:color w:val="000000"/>
        </w:rPr>
      </w:pPr>
      <w:r>
        <w:rPr>
          <w:rFonts w:hint="eastAsia" w:cs="仿宋_GB2312"/>
          <w:color w:val="000000"/>
        </w:rPr>
        <w:t>上述违约金不足以弥补甲方损失，不足部分由乙方承担。</w:t>
      </w:r>
    </w:p>
    <w:p>
      <w:pPr>
        <w:pStyle w:val="49"/>
        <w:numPr>
          <w:ilvl w:val="0"/>
          <w:numId w:val="4"/>
        </w:numPr>
        <w:spacing w:line="360" w:lineRule="auto"/>
        <w:rPr>
          <w:rFonts w:cs="仿宋_GB2312"/>
          <w:color w:val="000000"/>
        </w:rPr>
      </w:pPr>
      <w:r>
        <w:rPr>
          <w:rFonts w:hint="eastAsia" w:cs="仿宋_GB2312"/>
          <w:color w:val="000000"/>
        </w:rPr>
        <w:t>争议解决</w:t>
      </w:r>
    </w:p>
    <w:p>
      <w:pPr>
        <w:pStyle w:val="49"/>
        <w:spacing w:line="360" w:lineRule="auto"/>
        <w:rPr>
          <w:rFonts w:hint="default" w:eastAsia="宋体" w:cs="仿宋_GB2312"/>
          <w:color w:val="000000"/>
          <w:lang w:val="en-US" w:eastAsia="zh-CN"/>
        </w:rPr>
      </w:pPr>
      <w:r>
        <w:rPr>
          <w:rFonts w:hint="eastAsia" w:cs="仿宋_GB2312"/>
          <w:color w:val="000000"/>
        </w:rPr>
        <w:t xml:space="preserve">    双方协商解决，未能协商一致的，由甲方所在地人民法院管辖。</w:t>
      </w:r>
      <w:r>
        <w:rPr>
          <w:rFonts w:hint="eastAsia" w:cs="仿宋_GB2312"/>
          <w:color w:val="000000"/>
          <w:lang w:val="en-US" w:eastAsia="zh-CN"/>
        </w:rPr>
        <w:t>因一方违约导致另一方为解决纠纷而产生的费用（包括但不限于诉讼费、财产保全费和担保费、律师费、差旅费、公证费、鉴定费等）由违约方承担。</w:t>
      </w:r>
    </w:p>
    <w:p>
      <w:pPr>
        <w:pStyle w:val="49"/>
        <w:spacing w:line="360" w:lineRule="auto"/>
        <w:rPr>
          <w:rFonts w:cs="仿宋_GB2312"/>
          <w:color w:val="000000"/>
        </w:rPr>
      </w:pPr>
    </w:p>
    <w:p>
      <w:pPr>
        <w:pStyle w:val="49"/>
        <w:numPr>
          <w:ilvl w:val="0"/>
          <w:numId w:val="4"/>
        </w:numPr>
        <w:spacing w:line="360" w:lineRule="auto"/>
        <w:rPr>
          <w:rFonts w:ascii="宋体" w:hAnsi="宋体" w:cs="仿宋_GB2312"/>
          <w:color w:val="000000"/>
        </w:rPr>
      </w:pPr>
      <w:r>
        <w:rPr>
          <w:rFonts w:hint="eastAsia" w:ascii="宋体" w:hAnsi="宋体" w:cs="仿宋_GB2312"/>
          <w:color w:val="000000"/>
        </w:rPr>
        <w:t>专项条款</w:t>
      </w:r>
    </w:p>
    <w:p>
      <w:pPr>
        <w:spacing w:line="360" w:lineRule="auto"/>
        <w:rPr>
          <w:rFonts w:ascii="宋体" w:hAnsi="宋体" w:cs="仿宋_GB2312"/>
          <w:color w:val="000000"/>
          <w:sz w:val="24"/>
        </w:rPr>
      </w:pPr>
      <w:r>
        <w:rPr>
          <w:rFonts w:hint="eastAsia" w:ascii="宋体" w:hAnsi="宋体" w:cs="仿宋_GB2312"/>
          <w:color w:val="000000"/>
          <w:sz w:val="24"/>
        </w:rPr>
        <w:t xml:space="preserve">    1、本合同乙方“</w:t>
      </w:r>
      <w:r>
        <w:rPr>
          <w:rFonts w:hint="eastAsia" w:ascii="宋体" w:hAnsi="宋体" w:cs="仿宋_GB2312"/>
          <w:color w:val="000000"/>
          <w:kern w:val="0"/>
          <w:sz w:val="24"/>
        </w:rPr>
        <w:t>项目</w:t>
      </w:r>
      <w:r>
        <w:rPr>
          <w:rFonts w:hint="eastAsia" w:ascii="宋体" w:hAnsi="宋体" w:cs="仿宋_GB2312"/>
          <w:color w:val="000000"/>
          <w:sz w:val="24"/>
        </w:rPr>
        <w:t>负责人”为</w:t>
      </w:r>
      <w:r>
        <w:rPr>
          <w:rFonts w:hint="eastAsia" w:ascii="宋体" w:hAnsi="宋体" w:cs="仿宋_GB2312"/>
          <w:color w:val="000000"/>
          <w:sz w:val="24"/>
          <w:u w:val="single"/>
        </w:rPr>
        <w:t xml:space="preserve">    </w:t>
      </w:r>
      <w:r>
        <w:rPr>
          <w:rFonts w:hint="eastAsia" w:ascii="宋体" w:hAnsi="宋体" w:cs="仿宋_GB2312"/>
          <w:color w:val="000000"/>
          <w:sz w:val="24"/>
          <w:u w:val="single"/>
          <w:lang w:val="en-US" w:eastAsia="zh-CN"/>
        </w:rPr>
        <w:t xml:space="preserve">  </w:t>
      </w:r>
      <w:r>
        <w:rPr>
          <w:rFonts w:hint="eastAsia" w:ascii="宋体" w:hAnsi="宋体" w:cs="仿宋_GB2312"/>
          <w:color w:val="000000"/>
          <w:sz w:val="24"/>
          <w:u w:val="single"/>
        </w:rPr>
        <w:t xml:space="preserve">   </w:t>
      </w:r>
      <w:r>
        <w:rPr>
          <w:rFonts w:hint="eastAsia" w:ascii="宋体" w:hAnsi="宋体" w:cs="仿宋_GB2312"/>
          <w:color w:val="000000"/>
          <w:sz w:val="24"/>
          <w:u w:val="single"/>
          <w:lang w:val="en-US" w:eastAsia="zh-CN"/>
        </w:rPr>
        <w:t>联系方式：</w:t>
      </w:r>
      <w:r>
        <w:rPr>
          <w:rFonts w:hint="eastAsia" w:ascii="宋体" w:hAnsi="宋体" w:cs="仿宋_GB2312"/>
          <w:color w:val="000000"/>
          <w:sz w:val="24"/>
          <w:u w:val="single"/>
        </w:rPr>
        <w:t xml:space="preserve">  </w:t>
      </w:r>
      <w:r>
        <w:rPr>
          <w:rFonts w:hint="eastAsia" w:ascii="宋体" w:hAnsi="宋体" w:cs="仿宋_GB2312"/>
          <w:color w:val="000000"/>
          <w:sz w:val="24"/>
          <w:u w:val="single"/>
          <w:lang w:val="en-US" w:eastAsia="zh-CN"/>
        </w:rPr>
        <w:t xml:space="preserve">     </w:t>
      </w:r>
      <w:r>
        <w:rPr>
          <w:rFonts w:hint="eastAsia" w:ascii="宋体" w:hAnsi="宋体" w:cs="仿宋_GB2312"/>
          <w:color w:val="000000"/>
          <w:sz w:val="24"/>
        </w:rPr>
        <w:t>，非甲方同意乙方不得更换</w:t>
      </w:r>
      <w:r>
        <w:rPr>
          <w:rFonts w:hint="eastAsia" w:ascii="宋体" w:hAnsi="宋体" w:cs="仿宋_GB2312"/>
          <w:color w:val="000000"/>
          <w:kern w:val="0"/>
          <w:sz w:val="24"/>
        </w:rPr>
        <w:t>项目</w:t>
      </w:r>
      <w:r>
        <w:rPr>
          <w:rFonts w:hint="eastAsia" w:ascii="宋体" w:hAnsi="宋体" w:cs="仿宋_GB2312"/>
          <w:color w:val="000000"/>
          <w:sz w:val="24"/>
        </w:rPr>
        <w:t>负责人，否则甲方有权解除本协议。</w:t>
      </w:r>
    </w:p>
    <w:p>
      <w:pPr>
        <w:spacing w:line="360" w:lineRule="auto"/>
        <w:ind w:firstLine="480" w:firstLineChars="200"/>
        <w:rPr>
          <w:rFonts w:ascii="宋体" w:hAnsi="宋体" w:cs="仿宋_GB2312"/>
          <w:color w:val="000000"/>
          <w:sz w:val="24"/>
        </w:rPr>
      </w:pPr>
      <w:r>
        <w:rPr>
          <w:rFonts w:hint="eastAsia" w:ascii="宋体" w:hAnsi="宋体" w:cs="仿宋_GB2312"/>
          <w:color w:val="000000"/>
          <w:sz w:val="24"/>
        </w:rPr>
        <w:t>2、服务团队人员表。</w:t>
      </w:r>
    </w:p>
    <w:p>
      <w:pPr>
        <w:spacing w:line="360" w:lineRule="auto"/>
        <w:jc w:val="center"/>
        <w:rPr>
          <w:rFonts w:ascii="宋体" w:hAnsi="宋体" w:cs="仿宋_GB2312"/>
          <w:bCs/>
          <w:color w:val="000000"/>
          <w:sz w:val="24"/>
        </w:rPr>
      </w:pPr>
    </w:p>
    <w:p>
      <w:pPr>
        <w:spacing w:line="360" w:lineRule="auto"/>
        <w:jc w:val="center"/>
        <w:rPr>
          <w:rFonts w:ascii="宋体" w:hAnsi="宋体" w:cs="仿宋_GB2312"/>
          <w:bCs/>
          <w:color w:val="000000"/>
          <w:sz w:val="24"/>
        </w:rPr>
      </w:pPr>
    </w:p>
    <w:p>
      <w:pPr>
        <w:spacing w:line="360" w:lineRule="auto"/>
        <w:jc w:val="center"/>
        <w:rPr>
          <w:rFonts w:ascii="宋体" w:hAnsi="宋体" w:cs="仿宋_GB2312"/>
          <w:bCs/>
          <w:color w:val="000000"/>
          <w:sz w:val="24"/>
        </w:rPr>
      </w:pPr>
      <w:r>
        <w:rPr>
          <w:rFonts w:hint="eastAsia" w:ascii="宋体" w:hAnsi="宋体" w:cs="仿宋_GB2312"/>
          <w:bCs/>
          <w:color w:val="000000"/>
          <w:sz w:val="24"/>
        </w:rPr>
        <w:t>服务团队人员表</w:t>
      </w:r>
    </w:p>
    <w:tbl>
      <w:tblPr>
        <w:tblStyle w:val="61"/>
        <w:tblW w:w="88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878"/>
        <w:gridCol w:w="877"/>
        <w:gridCol w:w="1823"/>
        <w:gridCol w:w="1342"/>
        <w:gridCol w:w="900"/>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98" w:type="dxa"/>
            <w:vAlign w:val="center"/>
          </w:tcPr>
          <w:p>
            <w:pPr>
              <w:pStyle w:val="49"/>
              <w:spacing w:line="360" w:lineRule="auto"/>
              <w:jc w:val="center"/>
              <w:rPr>
                <w:rFonts w:cs="仿宋_GB2312"/>
                <w:color w:val="000000"/>
              </w:rPr>
            </w:pPr>
            <w:r>
              <w:rPr>
                <w:rFonts w:hint="eastAsia" w:cs="仿宋_GB2312"/>
                <w:color w:val="000000"/>
              </w:rPr>
              <w:t>序号</w:t>
            </w:r>
          </w:p>
        </w:tc>
        <w:tc>
          <w:tcPr>
            <w:tcW w:w="878" w:type="dxa"/>
            <w:vAlign w:val="center"/>
          </w:tcPr>
          <w:p>
            <w:pPr>
              <w:pStyle w:val="49"/>
              <w:spacing w:line="360" w:lineRule="auto"/>
              <w:jc w:val="center"/>
              <w:rPr>
                <w:rFonts w:cs="仿宋_GB2312"/>
                <w:color w:val="000000"/>
              </w:rPr>
            </w:pPr>
            <w:r>
              <w:rPr>
                <w:rFonts w:hint="eastAsia" w:cs="仿宋_GB2312"/>
                <w:color w:val="000000"/>
              </w:rPr>
              <w:t>姓名</w:t>
            </w:r>
          </w:p>
        </w:tc>
        <w:tc>
          <w:tcPr>
            <w:tcW w:w="877" w:type="dxa"/>
            <w:vAlign w:val="center"/>
          </w:tcPr>
          <w:p>
            <w:pPr>
              <w:pStyle w:val="49"/>
              <w:spacing w:line="360" w:lineRule="auto"/>
              <w:jc w:val="center"/>
              <w:rPr>
                <w:rFonts w:cs="仿宋_GB2312"/>
                <w:color w:val="000000"/>
              </w:rPr>
            </w:pPr>
            <w:r>
              <w:rPr>
                <w:rFonts w:hint="eastAsia" w:cs="仿宋_GB2312"/>
                <w:color w:val="000000"/>
              </w:rPr>
              <w:t>性别</w:t>
            </w:r>
          </w:p>
        </w:tc>
        <w:tc>
          <w:tcPr>
            <w:tcW w:w="1823" w:type="dxa"/>
            <w:vAlign w:val="center"/>
          </w:tcPr>
          <w:p>
            <w:pPr>
              <w:pStyle w:val="49"/>
              <w:spacing w:line="360" w:lineRule="auto"/>
              <w:jc w:val="center"/>
              <w:rPr>
                <w:rFonts w:cs="仿宋_GB2312"/>
                <w:color w:val="000000"/>
              </w:rPr>
            </w:pPr>
            <w:r>
              <w:rPr>
                <w:rFonts w:hint="eastAsia" w:cs="仿宋_GB2312"/>
                <w:color w:val="000000"/>
              </w:rPr>
              <w:t>注册证书编号</w:t>
            </w:r>
          </w:p>
        </w:tc>
        <w:tc>
          <w:tcPr>
            <w:tcW w:w="1342" w:type="dxa"/>
            <w:vAlign w:val="center"/>
          </w:tcPr>
          <w:p>
            <w:pPr>
              <w:pStyle w:val="49"/>
              <w:spacing w:line="360" w:lineRule="auto"/>
              <w:jc w:val="center"/>
              <w:rPr>
                <w:rFonts w:cs="仿宋_GB2312"/>
                <w:color w:val="000000"/>
              </w:rPr>
            </w:pPr>
            <w:r>
              <w:rPr>
                <w:rFonts w:hint="eastAsia" w:cs="仿宋_GB2312"/>
                <w:color w:val="000000"/>
              </w:rPr>
              <w:t>从业年限</w:t>
            </w:r>
          </w:p>
        </w:tc>
        <w:tc>
          <w:tcPr>
            <w:tcW w:w="900" w:type="dxa"/>
            <w:vAlign w:val="center"/>
          </w:tcPr>
          <w:p>
            <w:pPr>
              <w:pStyle w:val="49"/>
              <w:spacing w:line="360" w:lineRule="auto"/>
              <w:jc w:val="center"/>
              <w:rPr>
                <w:rFonts w:cs="仿宋_GB2312"/>
                <w:color w:val="000000"/>
              </w:rPr>
            </w:pPr>
            <w:r>
              <w:rPr>
                <w:rFonts w:hint="eastAsia" w:cs="仿宋_GB2312"/>
                <w:color w:val="000000"/>
              </w:rPr>
              <w:t>职称</w:t>
            </w:r>
          </w:p>
        </w:tc>
        <w:tc>
          <w:tcPr>
            <w:tcW w:w="2285" w:type="dxa"/>
            <w:vAlign w:val="center"/>
          </w:tcPr>
          <w:p>
            <w:pPr>
              <w:pStyle w:val="49"/>
              <w:spacing w:line="360" w:lineRule="auto"/>
              <w:jc w:val="center"/>
              <w:rPr>
                <w:rFonts w:cs="仿宋_GB2312"/>
                <w:color w:val="000000"/>
              </w:rPr>
            </w:pPr>
            <w:r>
              <w:rPr>
                <w:rFonts w:hint="eastAsia" w:cs="仿宋_GB2312"/>
                <w:color w:val="000000"/>
              </w:rPr>
              <w:t>拟在本项目任职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98" w:type="dxa"/>
          </w:tcPr>
          <w:p>
            <w:pPr>
              <w:pStyle w:val="49"/>
              <w:spacing w:line="360" w:lineRule="auto"/>
              <w:jc w:val="center"/>
              <w:rPr>
                <w:rFonts w:cs="仿宋_GB2312"/>
                <w:color w:val="000000"/>
              </w:rPr>
            </w:pPr>
            <w:r>
              <w:rPr>
                <w:rFonts w:hint="eastAsia" w:cs="仿宋_GB2312"/>
                <w:color w:val="000000"/>
              </w:rPr>
              <w:t>1</w:t>
            </w:r>
          </w:p>
        </w:tc>
        <w:tc>
          <w:tcPr>
            <w:tcW w:w="878" w:type="dxa"/>
          </w:tcPr>
          <w:p>
            <w:pPr>
              <w:pStyle w:val="49"/>
              <w:spacing w:line="360" w:lineRule="auto"/>
              <w:jc w:val="center"/>
              <w:rPr>
                <w:rFonts w:cs="仿宋_GB2312"/>
                <w:color w:val="000000"/>
              </w:rPr>
            </w:pPr>
          </w:p>
        </w:tc>
        <w:tc>
          <w:tcPr>
            <w:tcW w:w="877" w:type="dxa"/>
          </w:tcPr>
          <w:p>
            <w:pPr>
              <w:pStyle w:val="49"/>
              <w:spacing w:line="360" w:lineRule="auto"/>
              <w:jc w:val="center"/>
              <w:rPr>
                <w:rFonts w:cs="仿宋_GB2312"/>
                <w:color w:val="000000"/>
              </w:rPr>
            </w:pPr>
          </w:p>
        </w:tc>
        <w:tc>
          <w:tcPr>
            <w:tcW w:w="1823" w:type="dxa"/>
          </w:tcPr>
          <w:p>
            <w:pPr>
              <w:pStyle w:val="49"/>
              <w:spacing w:line="360" w:lineRule="auto"/>
              <w:jc w:val="center"/>
              <w:rPr>
                <w:rFonts w:cs="仿宋_GB2312"/>
                <w:color w:val="000000"/>
              </w:rPr>
            </w:pPr>
          </w:p>
        </w:tc>
        <w:tc>
          <w:tcPr>
            <w:tcW w:w="1342" w:type="dxa"/>
          </w:tcPr>
          <w:p>
            <w:pPr>
              <w:pStyle w:val="49"/>
              <w:spacing w:line="360" w:lineRule="auto"/>
              <w:jc w:val="center"/>
              <w:rPr>
                <w:rFonts w:cs="仿宋_GB2312"/>
                <w:color w:val="000000"/>
              </w:rPr>
            </w:pPr>
          </w:p>
        </w:tc>
        <w:tc>
          <w:tcPr>
            <w:tcW w:w="900" w:type="dxa"/>
          </w:tcPr>
          <w:p>
            <w:pPr>
              <w:pStyle w:val="49"/>
              <w:spacing w:line="360" w:lineRule="auto"/>
              <w:jc w:val="center"/>
              <w:rPr>
                <w:rFonts w:cs="仿宋_GB2312"/>
                <w:color w:val="000000"/>
              </w:rPr>
            </w:pPr>
          </w:p>
        </w:tc>
        <w:tc>
          <w:tcPr>
            <w:tcW w:w="2285" w:type="dxa"/>
          </w:tcPr>
          <w:p>
            <w:pPr>
              <w:pStyle w:val="49"/>
              <w:spacing w:line="360" w:lineRule="auto"/>
              <w:jc w:val="center"/>
              <w:rPr>
                <w:rFonts w:cs="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98" w:type="dxa"/>
          </w:tcPr>
          <w:p>
            <w:pPr>
              <w:pStyle w:val="49"/>
              <w:spacing w:line="360" w:lineRule="auto"/>
              <w:jc w:val="center"/>
              <w:rPr>
                <w:rFonts w:cs="仿宋_GB2312"/>
                <w:color w:val="000000"/>
              </w:rPr>
            </w:pPr>
            <w:r>
              <w:rPr>
                <w:rFonts w:hint="eastAsia" w:cs="仿宋_GB2312"/>
                <w:color w:val="000000"/>
              </w:rPr>
              <w:t>2</w:t>
            </w:r>
          </w:p>
        </w:tc>
        <w:tc>
          <w:tcPr>
            <w:tcW w:w="878" w:type="dxa"/>
          </w:tcPr>
          <w:p>
            <w:pPr>
              <w:pStyle w:val="49"/>
              <w:spacing w:line="360" w:lineRule="auto"/>
              <w:jc w:val="center"/>
              <w:rPr>
                <w:rFonts w:cs="仿宋_GB2312"/>
                <w:color w:val="000000"/>
              </w:rPr>
            </w:pPr>
          </w:p>
        </w:tc>
        <w:tc>
          <w:tcPr>
            <w:tcW w:w="877" w:type="dxa"/>
          </w:tcPr>
          <w:p>
            <w:pPr>
              <w:pStyle w:val="49"/>
              <w:spacing w:line="360" w:lineRule="auto"/>
              <w:jc w:val="center"/>
              <w:rPr>
                <w:rFonts w:cs="仿宋_GB2312"/>
                <w:color w:val="000000"/>
              </w:rPr>
            </w:pPr>
          </w:p>
        </w:tc>
        <w:tc>
          <w:tcPr>
            <w:tcW w:w="1823" w:type="dxa"/>
          </w:tcPr>
          <w:p>
            <w:pPr>
              <w:pStyle w:val="49"/>
              <w:spacing w:line="360" w:lineRule="auto"/>
              <w:jc w:val="center"/>
              <w:rPr>
                <w:rFonts w:cs="仿宋_GB2312"/>
                <w:color w:val="000000"/>
              </w:rPr>
            </w:pPr>
          </w:p>
        </w:tc>
        <w:tc>
          <w:tcPr>
            <w:tcW w:w="1342" w:type="dxa"/>
          </w:tcPr>
          <w:p>
            <w:pPr>
              <w:pStyle w:val="49"/>
              <w:spacing w:line="360" w:lineRule="auto"/>
              <w:jc w:val="center"/>
              <w:rPr>
                <w:rFonts w:cs="仿宋_GB2312"/>
                <w:color w:val="000000"/>
              </w:rPr>
            </w:pPr>
          </w:p>
        </w:tc>
        <w:tc>
          <w:tcPr>
            <w:tcW w:w="900" w:type="dxa"/>
          </w:tcPr>
          <w:p>
            <w:pPr>
              <w:pStyle w:val="49"/>
              <w:spacing w:line="360" w:lineRule="auto"/>
              <w:jc w:val="center"/>
              <w:rPr>
                <w:rFonts w:cs="仿宋_GB2312"/>
                <w:color w:val="000000"/>
              </w:rPr>
            </w:pPr>
          </w:p>
        </w:tc>
        <w:tc>
          <w:tcPr>
            <w:tcW w:w="2285" w:type="dxa"/>
          </w:tcPr>
          <w:p>
            <w:pPr>
              <w:pStyle w:val="49"/>
              <w:spacing w:line="360" w:lineRule="auto"/>
              <w:jc w:val="center"/>
              <w:rPr>
                <w:rFonts w:cs="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98" w:type="dxa"/>
          </w:tcPr>
          <w:p>
            <w:pPr>
              <w:pStyle w:val="49"/>
              <w:spacing w:line="360" w:lineRule="auto"/>
              <w:jc w:val="center"/>
              <w:rPr>
                <w:rFonts w:cs="仿宋_GB2312"/>
                <w:color w:val="000000"/>
              </w:rPr>
            </w:pPr>
            <w:r>
              <w:rPr>
                <w:rFonts w:hint="eastAsia" w:cs="仿宋_GB2312"/>
                <w:color w:val="000000"/>
              </w:rPr>
              <w:t>3</w:t>
            </w:r>
          </w:p>
        </w:tc>
        <w:tc>
          <w:tcPr>
            <w:tcW w:w="878" w:type="dxa"/>
          </w:tcPr>
          <w:p>
            <w:pPr>
              <w:pStyle w:val="49"/>
              <w:spacing w:line="360" w:lineRule="auto"/>
              <w:jc w:val="center"/>
              <w:rPr>
                <w:rFonts w:cs="仿宋_GB2312"/>
                <w:color w:val="000000"/>
              </w:rPr>
            </w:pPr>
          </w:p>
        </w:tc>
        <w:tc>
          <w:tcPr>
            <w:tcW w:w="877" w:type="dxa"/>
          </w:tcPr>
          <w:p>
            <w:pPr>
              <w:pStyle w:val="49"/>
              <w:spacing w:line="360" w:lineRule="auto"/>
              <w:jc w:val="center"/>
              <w:rPr>
                <w:rFonts w:cs="仿宋_GB2312"/>
                <w:color w:val="000000"/>
              </w:rPr>
            </w:pPr>
          </w:p>
        </w:tc>
        <w:tc>
          <w:tcPr>
            <w:tcW w:w="1823" w:type="dxa"/>
          </w:tcPr>
          <w:p>
            <w:pPr>
              <w:pStyle w:val="49"/>
              <w:spacing w:line="360" w:lineRule="auto"/>
              <w:jc w:val="center"/>
              <w:rPr>
                <w:rFonts w:cs="仿宋_GB2312"/>
                <w:color w:val="000000"/>
              </w:rPr>
            </w:pPr>
          </w:p>
        </w:tc>
        <w:tc>
          <w:tcPr>
            <w:tcW w:w="1342" w:type="dxa"/>
          </w:tcPr>
          <w:p>
            <w:pPr>
              <w:pStyle w:val="49"/>
              <w:spacing w:line="360" w:lineRule="auto"/>
              <w:jc w:val="center"/>
              <w:rPr>
                <w:rFonts w:cs="仿宋_GB2312"/>
                <w:color w:val="000000"/>
              </w:rPr>
            </w:pPr>
          </w:p>
        </w:tc>
        <w:tc>
          <w:tcPr>
            <w:tcW w:w="900" w:type="dxa"/>
          </w:tcPr>
          <w:p>
            <w:pPr>
              <w:pStyle w:val="49"/>
              <w:spacing w:line="360" w:lineRule="auto"/>
              <w:jc w:val="center"/>
              <w:rPr>
                <w:rFonts w:cs="仿宋_GB2312"/>
                <w:color w:val="000000"/>
              </w:rPr>
            </w:pPr>
          </w:p>
        </w:tc>
        <w:tc>
          <w:tcPr>
            <w:tcW w:w="2285" w:type="dxa"/>
          </w:tcPr>
          <w:p>
            <w:pPr>
              <w:pStyle w:val="49"/>
              <w:spacing w:line="360" w:lineRule="auto"/>
              <w:jc w:val="center"/>
              <w:rPr>
                <w:rFonts w:cs="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98" w:type="dxa"/>
          </w:tcPr>
          <w:p>
            <w:pPr>
              <w:pStyle w:val="49"/>
              <w:spacing w:line="360" w:lineRule="auto"/>
              <w:jc w:val="center"/>
              <w:rPr>
                <w:rFonts w:cs="仿宋_GB2312"/>
                <w:color w:val="000000"/>
              </w:rPr>
            </w:pPr>
            <w:r>
              <w:rPr>
                <w:rFonts w:hint="eastAsia" w:cs="仿宋_GB2312"/>
                <w:color w:val="000000"/>
              </w:rPr>
              <w:t>4</w:t>
            </w:r>
          </w:p>
        </w:tc>
        <w:tc>
          <w:tcPr>
            <w:tcW w:w="878" w:type="dxa"/>
          </w:tcPr>
          <w:p>
            <w:pPr>
              <w:pStyle w:val="49"/>
              <w:spacing w:line="360" w:lineRule="auto"/>
              <w:jc w:val="center"/>
              <w:rPr>
                <w:rFonts w:cs="仿宋_GB2312"/>
                <w:color w:val="000000"/>
              </w:rPr>
            </w:pPr>
          </w:p>
        </w:tc>
        <w:tc>
          <w:tcPr>
            <w:tcW w:w="877" w:type="dxa"/>
          </w:tcPr>
          <w:p>
            <w:pPr>
              <w:pStyle w:val="49"/>
              <w:spacing w:line="360" w:lineRule="auto"/>
              <w:jc w:val="center"/>
              <w:rPr>
                <w:rFonts w:cs="仿宋_GB2312"/>
                <w:color w:val="000000"/>
              </w:rPr>
            </w:pPr>
          </w:p>
        </w:tc>
        <w:tc>
          <w:tcPr>
            <w:tcW w:w="1823" w:type="dxa"/>
          </w:tcPr>
          <w:p>
            <w:pPr>
              <w:pStyle w:val="49"/>
              <w:spacing w:line="360" w:lineRule="auto"/>
              <w:jc w:val="center"/>
              <w:rPr>
                <w:rFonts w:cs="仿宋_GB2312"/>
                <w:color w:val="000000"/>
              </w:rPr>
            </w:pPr>
          </w:p>
        </w:tc>
        <w:tc>
          <w:tcPr>
            <w:tcW w:w="1342" w:type="dxa"/>
          </w:tcPr>
          <w:p>
            <w:pPr>
              <w:pStyle w:val="49"/>
              <w:spacing w:line="360" w:lineRule="auto"/>
              <w:jc w:val="center"/>
              <w:rPr>
                <w:rFonts w:cs="仿宋_GB2312"/>
                <w:color w:val="000000"/>
              </w:rPr>
            </w:pPr>
          </w:p>
        </w:tc>
        <w:tc>
          <w:tcPr>
            <w:tcW w:w="900" w:type="dxa"/>
          </w:tcPr>
          <w:p>
            <w:pPr>
              <w:pStyle w:val="49"/>
              <w:spacing w:line="360" w:lineRule="auto"/>
              <w:jc w:val="center"/>
              <w:rPr>
                <w:rFonts w:cs="仿宋_GB2312"/>
                <w:color w:val="000000"/>
              </w:rPr>
            </w:pPr>
          </w:p>
        </w:tc>
        <w:tc>
          <w:tcPr>
            <w:tcW w:w="2285" w:type="dxa"/>
          </w:tcPr>
          <w:p>
            <w:pPr>
              <w:pStyle w:val="49"/>
              <w:spacing w:line="360" w:lineRule="auto"/>
              <w:jc w:val="center"/>
              <w:rPr>
                <w:rFonts w:cs="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98" w:type="dxa"/>
          </w:tcPr>
          <w:p>
            <w:pPr>
              <w:pStyle w:val="49"/>
              <w:spacing w:line="360" w:lineRule="auto"/>
              <w:jc w:val="center"/>
              <w:rPr>
                <w:rFonts w:cs="仿宋_GB2312"/>
                <w:color w:val="000000"/>
              </w:rPr>
            </w:pPr>
            <w:r>
              <w:rPr>
                <w:rFonts w:hint="eastAsia" w:cs="仿宋_GB2312"/>
                <w:color w:val="000000"/>
              </w:rPr>
              <w:t>5</w:t>
            </w:r>
          </w:p>
        </w:tc>
        <w:tc>
          <w:tcPr>
            <w:tcW w:w="878" w:type="dxa"/>
          </w:tcPr>
          <w:p>
            <w:pPr>
              <w:pStyle w:val="49"/>
              <w:spacing w:line="360" w:lineRule="auto"/>
              <w:jc w:val="center"/>
              <w:rPr>
                <w:rFonts w:cs="仿宋_GB2312"/>
                <w:color w:val="000000"/>
              </w:rPr>
            </w:pPr>
          </w:p>
        </w:tc>
        <w:tc>
          <w:tcPr>
            <w:tcW w:w="877" w:type="dxa"/>
          </w:tcPr>
          <w:p>
            <w:pPr>
              <w:pStyle w:val="49"/>
              <w:spacing w:line="360" w:lineRule="auto"/>
              <w:jc w:val="center"/>
              <w:rPr>
                <w:rFonts w:cs="仿宋_GB2312"/>
                <w:color w:val="000000"/>
              </w:rPr>
            </w:pPr>
          </w:p>
        </w:tc>
        <w:tc>
          <w:tcPr>
            <w:tcW w:w="1823" w:type="dxa"/>
          </w:tcPr>
          <w:p>
            <w:pPr>
              <w:pStyle w:val="49"/>
              <w:spacing w:line="360" w:lineRule="auto"/>
              <w:jc w:val="center"/>
              <w:rPr>
                <w:rFonts w:cs="仿宋_GB2312"/>
                <w:color w:val="000000"/>
              </w:rPr>
            </w:pPr>
          </w:p>
        </w:tc>
        <w:tc>
          <w:tcPr>
            <w:tcW w:w="1342" w:type="dxa"/>
          </w:tcPr>
          <w:p>
            <w:pPr>
              <w:pStyle w:val="49"/>
              <w:spacing w:line="360" w:lineRule="auto"/>
              <w:jc w:val="center"/>
              <w:rPr>
                <w:rFonts w:cs="仿宋_GB2312"/>
                <w:color w:val="000000"/>
              </w:rPr>
            </w:pPr>
          </w:p>
        </w:tc>
        <w:tc>
          <w:tcPr>
            <w:tcW w:w="900" w:type="dxa"/>
          </w:tcPr>
          <w:p>
            <w:pPr>
              <w:pStyle w:val="49"/>
              <w:spacing w:line="360" w:lineRule="auto"/>
              <w:jc w:val="center"/>
              <w:rPr>
                <w:rFonts w:cs="仿宋_GB2312"/>
                <w:color w:val="000000"/>
              </w:rPr>
            </w:pPr>
          </w:p>
        </w:tc>
        <w:tc>
          <w:tcPr>
            <w:tcW w:w="2285" w:type="dxa"/>
          </w:tcPr>
          <w:p>
            <w:pPr>
              <w:pStyle w:val="49"/>
              <w:spacing w:line="360" w:lineRule="auto"/>
              <w:jc w:val="center"/>
              <w:rPr>
                <w:rFonts w:cs="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98" w:type="dxa"/>
          </w:tcPr>
          <w:p>
            <w:pPr>
              <w:pStyle w:val="49"/>
              <w:spacing w:line="360" w:lineRule="auto"/>
              <w:jc w:val="center"/>
              <w:rPr>
                <w:rFonts w:cs="仿宋_GB2312"/>
                <w:color w:val="000000"/>
              </w:rPr>
            </w:pPr>
            <w:r>
              <w:rPr>
                <w:rFonts w:hint="eastAsia" w:cs="仿宋_GB2312"/>
                <w:color w:val="000000"/>
              </w:rPr>
              <w:t>6</w:t>
            </w:r>
          </w:p>
        </w:tc>
        <w:tc>
          <w:tcPr>
            <w:tcW w:w="878" w:type="dxa"/>
          </w:tcPr>
          <w:p>
            <w:pPr>
              <w:pStyle w:val="49"/>
              <w:spacing w:line="360" w:lineRule="auto"/>
              <w:jc w:val="center"/>
              <w:rPr>
                <w:rFonts w:cs="仿宋_GB2312"/>
                <w:color w:val="000000"/>
              </w:rPr>
            </w:pPr>
          </w:p>
        </w:tc>
        <w:tc>
          <w:tcPr>
            <w:tcW w:w="877" w:type="dxa"/>
          </w:tcPr>
          <w:p>
            <w:pPr>
              <w:pStyle w:val="49"/>
              <w:spacing w:line="360" w:lineRule="auto"/>
              <w:jc w:val="center"/>
              <w:rPr>
                <w:rFonts w:cs="仿宋_GB2312"/>
                <w:color w:val="000000"/>
              </w:rPr>
            </w:pPr>
          </w:p>
        </w:tc>
        <w:tc>
          <w:tcPr>
            <w:tcW w:w="1823" w:type="dxa"/>
          </w:tcPr>
          <w:p>
            <w:pPr>
              <w:pStyle w:val="49"/>
              <w:spacing w:line="360" w:lineRule="auto"/>
              <w:jc w:val="center"/>
              <w:rPr>
                <w:rFonts w:cs="仿宋_GB2312"/>
                <w:color w:val="000000"/>
              </w:rPr>
            </w:pPr>
          </w:p>
        </w:tc>
        <w:tc>
          <w:tcPr>
            <w:tcW w:w="1342" w:type="dxa"/>
          </w:tcPr>
          <w:p>
            <w:pPr>
              <w:pStyle w:val="49"/>
              <w:spacing w:line="360" w:lineRule="auto"/>
              <w:jc w:val="center"/>
              <w:rPr>
                <w:rFonts w:cs="仿宋_GB2312"/>
                <w:color w:val="000000"/>
              </w:rPr>
            </w:pPr>
          </w:p>
        </w:tc>
        <w:tc>
          <w:tcPr>
            <w:tcW w:w="900" w:type="dxa"/>
          </w:tcPr>
          <w:p>
            <w:pPr>
              <w:pStyle w:val="49"/>
              <w:spacing w:line="360" w:lineRule="auto"/>
              <w:jc w:val="center"/>
              <w:rPr>
                <w:rFonts w:cs="仿宋_GB2312"/>
                <w:color w:val="000000"/>
              </w:rPr>
            </w:pPr>
          </w:p>
        </w:tc>
        <w:tc>
          <w:tcPr>
            <w:tcW w:w="2285" w:type="dxa"/>
          </w:tcPr>
          <w:p>
            <w:pPr>
              <w:pStyle w:val="49"/>
              <w:spacing w:line="360" w:lineRule="auto"/>
              <w:jc w:val="center"/>
              <w:rPr>
                <w:rFonts w:cs="仿宋_GB2312"/>
                <w:color w:val="000000"/>
              </w:rPr>
            </w:pPr>
          </w:p>
        </w:tc>
      </w:tr>
    </w:tbl>
    <w:p>
      <w:pPr>
        <w:numPr>
          <w:ilvl w:val="-1"/>
          <w:numId w:val="0"/>
        </w:numPr>
        <w:spacing w:line="360" w:lineRule="auto"/>
        <w:rPr>
          <w:rFonts w:hint="eastAsia" w:ascii="宋体" w:hAnsi="宋体" w:cs="仿宋_GB2312"/>
          <w:color w:val="000000"/>
          <w:kern w:val="2"/>
          <w:sz w:val="24"/>
          <w:szCs w:val="24"/>
          <w:lang w:val="en-US" w:eastAsia="zh-CN" w:bidi="ar-SA"/>
        </w:rPr>
      </w:pPr>
    </w:p>
    <w:p>
      <w:pPr>
        <w:numPr>
          <w:ilvl w:val="-1"/>
          <w:numId w:val="0"/>
        </w:numPr>
        <w:spacing w:line="360" w:lineRule="auto"/>
        <w:rPr>
          <w:rFonts w:ascii="宋体" w:hAnsi="宋体" w:cs="仿宋_GB2312"/>
          <w:color w:val="000000"/>
          <w:sz w:val="24"/>
        </w:rPr>
      </w:pPr>
      <w:r>
        <w:rPr>
          <w:rFonts w:hint="eastAsia" w:ascii="宋体" w:hAnsi="宋体" w:cs="仿宋_GB2312"/>
          <w:color w:val="000000"/>
          <w:kern w:val="2"/>
          <w:sz w:val="24"/>
          <w:szCs w:val="24"/>
          <w:lang w:val="en-US" w:eastAsia="zh-CN" w:bidi="ar-SA"/>
        </w:rPr>
        <w:t>十、</w:t>
      </w:r>
      <w:r>
        <w:rPr>
          <w:rFonts w:hint="eastAsia" w:ascii="宋体" w:hAnsi="宋体" w:eastAsia="宋体" w:cs="仿宋_GB2312"/>
          <w:color w:val="000000"/>
          <w:kern w:val="2"/>
          <w:sz w:val="24"/>
          <w:szCs w:val="24"/>
          <w:lang w:val="en-US" w:eastAsia="zh-CN" w:bidi="ar-SA"/>
        </w:rPr>
        <w:t>本合同未尽事宜，由双方另行协商一致后签订补充协议予以约定；补充协议为本合同之有效组成部份，与本合同具有同等效力。</w:t>
      </w:r>
    </w:p>
    <w:p>
      <w:pPr>
        <w:spacing w:line="360" w:lineRule="auto"/>
        <w:rPr>
          <w:rFonts w:ascii="宋体" w:hAnsi="宋体" w:cs="仿宋_GB2312"/>
          <w:color w:val="000000"/>
          <w:sz w:val="24"/>
        </w:rPr>
      </w:pPr>
      <w:r>
        <w:rPr>
          <w:rFonts w:hint="eastAsia" w:ascii="宋体" w:hAnsi="宋体" w:cs="仿宋_GB2312"/>
          <w:color w:val="000000"/>
          <w:sz w:val="24"/>
          <w:lang w:val="en-US" w:eastAsia="zh-CN"/>
        </w:rPr>
        <w:t>十一、</w:t>
      </w:r>
      <w:r>
        <w:rPr>
          <w:rFonts w:hint="eastAsia" w:ascii="宋体" w:hAnsi="宋体" w:cs="仿宋_GB2312"/>
          <w:color w:val="000000"/>
          <w:sz w:val="24"/>
        </w:rPr>
        <w:t>本合同中签约双方提供的联系地址、联系人、联系电话（统称联系方式）在合同期内均真实有效，如发生变更，变更一方应提前以书面形式告知对方，因联系方式不真实、变更未告知或一方拒收等原因导致对方通知无法送达的，视为已经送达，由接收方承担所有不利后果。</w:t>
      </w:r>
      <w:r>
        <w:rPr>
          <w:rFonts w:hint="eastAsia" w:ascii="宋体" w:hAnsi="宋体" w:cs="仿宋_GB2312"/>
          <w:color w:val="000000"/>
          <w:sz w:val="24"/>
          <w:lang w:val="en-US" w:eastAsia="zh-CN"/>
        </w:rPr>
        <w:t>本条约定的联系方式适用于后续诉讼。</w:t>
      </w:r>
    </w:p>
    <w:p>
      <w:pPr>
        <w:spacing w:line="360" w:lineRule="auto"/>
        <w:rPr>
          <w:rFonts w:ascii="宋体" w:hAnsi="宋体" w:cs="仿宋_GB2312"/>
          <w:color w:val="000000"/>
          <w:sz w:val="24"/>
        </w:rPr>
      </w:pPr>
      <w:r>
        <w:rPr>
          <w:rFonts w:hint="eastAsia" w:ascii="宋体" w:hAnsi="宋体" w:cs="仿宋_GB2312"/>
          <w:color w:val="000000"/>
          <w:sz w:val="24"/>
        </w:rPr>
        <w:t>十</w:t>
      </w:r>
      <w:r>
        <w:rPr>
          <w:rFonts w:hint="eastAsia" w:ascii="宋体" w:hAnsi="宋体" w:cs="仿宋_GB2312"/>
          <w:color w:val="000000"/>
          <w:sz w:val="24"/>
          <w:lang w:val="en-US" w:eastAsia="zh-CN"/>
        </w:rPr>
        <w:t>二、</w:t>
      </w:r>
      <w:r>
        <w:rPr>
          <w:rFonts w:hint="eastAsia" w:ascii="宋体" w:hAnsi="宋体" w:cs="仿宋_GB2312"/>
          <w:color w:val="000000"/>
          <w:sz w:val="24"/>
        </w:rPr>
        <w:t>本合同一式六份，经甲乙双方签字并盖章后生效，甲方执四份、乙方执二份，具同等法律效力。</w:t>
      </w:r>
    </w:p>
    <w:p>
      <w:pPr>
        <w:pStyle w:val="2"/>
        <w:spacing w:line="360" w:lineRule="auto"/>
        <w:rPr>
          <w:rFonts w:hint="default" w:ascii="宋体" w:hAnsi="宋体" w:eastAsia="宋体" w:cs="仿宋_GB2312"/>
          <w:color w:val="000000"/>
          <w:kern w:val="2"/>
          <w:sz w:val="24"/>
          <w:szCs w:val="24"/>
          <w:lang w:val="en-US" w:eastAsia="zh-CN" w:bidi="ar-SA"/>
        </w:rPr>
      </w:pPr>
      <w:r>
        <w:rPr>
          <w:rFonts w:hint="eastAsia" w:ascii="宋体" w:hAnsi="宋体" w:cs="仿宋_GB2312"/>
          <w:color w:val="000000"/>
          <w:kern w:val="2"/>
          <w:sz w:val="24"/>
          <w:szCs w:val="24"/>
          <w:lang w:val="en-US" w:eastAsia="zh-CN" w:bidi="ar-SA"/>
        </w:rPr>
        <w:t>附件一：保密协议  附件二：廉政协议  附件三：银行履约保函</w:t>
      </w:r>
    </w:p>
    <w:p>
      <w:pPr>
        <w:numPr>
          <w:ilvl w:val="-1"/>
          <w:numId w:val="0"/>
        </w:numPr>
        <w:spacing w:line="360" w:lineRule="auto"/>
        <w:rPr>
          <w:rFonts w:ascii="宋体" w:hAnsi="宋体" w:cs="仿宋_GB2312"/>
          <w:color w:val="000000"/>
          <w:sz w:val="24"/>
        </w:rPr>
      </w:pPr>
    </w:p>
    <w:p>
      <w:pPr>
        <w:spacing w:line="360" w:lineRule="auto"/>
        <w:rPr>
          <w:rFonts w:ascii="宋体" w:hAnsi="宋体" w:cs="仿宋_GB2312"/>
          <w:color w:val="000000"/>
          <w:sz w:val="24"/>
        </w:rPr>
      </w:pPr>
    </w:p>
    <w:p>
      <w:pPr>
        <w:pStyle w:val="49"/>
        <w:spacing w:line="360" w:lineRule="auto"/>
        <w:rPr>
          <w:rFonts w:cs="仿宋_GB2312"/>
          <w:color w:val="000000"/>
        </w:rPr>
      </w:pPr>
    </w:p>
    <w:p>
      <w:pPr>
        <w:pStyle w:val="49"/>
        <w:spacing w:line="360" w:lineRule="auto"/>
        <w:rPr>
          <w:rFonts w:cs="仿宋_GB2312"/>
          <w:color w:val="000000"/>
        </w:rPr>
      </w:pPr>
      <w:r>
        <w:rPr>
          <w:rFonts w:hint="eastAsia" w:cs="仿宋_GB2312"/>
          <w:color w:val="000000"/>
        </w:rPr>
        <w:t>甲    方：（盖章）　　　　　　　　乙    方：（盖章）</w:t>
      </w:r>
    </w:p>
    <w:p>
      <w:pPr>
        <w:pStyle w:val="49"/>
        <w:spacing w:line="360" w:lineRule="auto"/>
        <w:rPr>
          <w:rFonts w:cs="仿宋_GB2312"/>
          <w:color w:val="000000"/>
        </w:rPr>
      </w:pPr>
      <w:r>
        <w:rPr>
          <w:rFonts w:hint="eastAsia" w:cs="仿宋_GB2312"/>
          <w:color w:val="000000"/>
        </w:rPr>
        <w:t>联系地址：                        联系地址：</w:t>
      </w:r>
    </w:p>
    <w:p>
      <w:pPr>
        <w:pStyle w:val="49"/>
        <w:spacing w:line="360" w:lineRule="auto"/>
        <w:rPr>
          <w:rFonts w:cs="仿宋_GB2312"/>
          <w:color w:val="000000"/>
        </w:rPr>
      </w:pPr>
      <w:r>
        <w:rPr>
          <w:rFonts w:hint="eastAsia" w:cs="仿宋_GB2312"/>
          <w:color w:val="000000"/>
        </w:rPr>
        <w:t>联系人：                          联系人：</w:t>
      </w:r>
    </w:p>
    <w:p>
      <w:pPr>
        <w:pStyle w:val="49"/>
        <w:spacing w:line="360" w:lineRule="auto"/>
        <w:rPr>
          <w:rFonts w:cs="仿宋_GB2312"/>
          <w:color w:val="000000"/>
        </w:rPr>
      </w:pPr>
      <w:r>
        <w:rPr>
          <w:rFonts w:hint="eastAsia" w:cs="仿宋_GB2312"/>
          <w:color w:val="000000"/>
        </w:rPr>
        <w:t>联系电话：                        联系电话：</w:t>
      </w:r>
    </w:p>
    <w:p>
      <w:pPr>
        <w:pStyle w:val="49"/>
        <w:spacing w:line="360" w:lineRule="auto"/>
        <w:rPr>
          <w:rFonts w:cs="仿宋_GB2312"/>
          <w:color w:val="000000"/>
        </w:rPr>
      </w:pPr>
      <w:r>
        <w:rPr>
          <w:rFonts w:hint="eastAsia" w:cs="仿宋_GB2312"/>
          <w:color w:val="000000"/>
        </w:rPr>
        <w:t>法定代表人（签字）　　　　　　　  法定代表人（签字）　　</w:t>
      </w:r>
    </w:p>
    <w:p>
      <w:pPr>
        <w:pStyle w:val="49"/>
        <w:spacing w:line="360" w:lineRule="auto"/>
        <w:rPr>
          <w:rFonts w:cs="仿宋_GB2312"/>
          <w:color w:val="000000"/>
        </w:rPr>
      </w:pPr>
      <w:r>
        <w:rPr>
          <w:rFonts w:hint="eastAsia" w:cs="仿宋_GB2312"/>
          <w:color w:val="000000"/>
        </w:rPr>
        <w:t xml:space="preserve">或委托代理人：（签字）　　　　　　或委托代理人：（签字）　　   </w:t>
      </w:r>
    </w:p>
    <w:p>
      <w:pPr>
        <w:pStyle w:val="49"/>
        <w:spacing w:line="360" w:lineRule="auto"/>
        <w:jc w:val="right"/>
        <w:rPr>
          <w:rFonts w:cs="仿宋_GB2312"/>
          <w:color w:val="000000"/>
        </w:rPr>
      </w:pPr>
    </w:p>
    <w:p>
      <w:pPr>
        <w:spacing w:line="360" w:lineRule="auto"/>
        <w:rPr>
          <w:rFonts w:hint="eastAsia" w:cs="仿宋_GB2312"/>
          <w:color w:val="000000"/>
          <w:sz w:val="24"/>
        </w:rPr>
      </w:pPr>
      <w:r>
        <w:rPr>
          <w:rFonts w:hint="eastAsia" w:cs="仿宋_GB2312"/>
          <w:color w:val="000000"/>
          <w:sz w:val="24"/>
        </w:rPr>
        <w:t>本合同签订日期：   年    月   日</w:t>
      </w:r>
    </w:p>
    <w:p>
      <w:pPr>
        <w:spacing w:line="440" w:lineRule="exact"/>
        <w:jc w:val="left"/>
        <w:rPr>
          <w:rFonts w:ascii="宋体" w:hAnsi="宋体"/>
          <w:b/>
          <w:bCs/>
          <w:color w:val="000000"/>
          <w:sz w:val="32"/>
          <w:szCs w:val="32"/>
        </w:rPr>
      </w:pPr>
      <w:r>
        <w:rPr>
          <w:rFonts w:hint="eastAsia" w:cs="仿宋_GB2312"/>
          <w:color w:val="000000"/>
        </w:rPr>
        <w:br w:type="page"/>
      </w:r>
      <w:r>
        <w:rPr>
          <w:rFonts w:hint="eastAsia" w:ascii="宋体" w:hAnsi="宋体"/>
          <w:b/>
          <w:bCs/>
          <w:color w:val="000000"/>
          <w:sz w:val="32"/>
          <w:szCs w:val="32"/>
        </w:rPr>
        <w:t>附件</w:t>
      </w:r>
      <w:r>
        <w:rPr>
          <w:rFonts w:hint="eastAsia" w:ascii="宋体" w:hAnsi="宋体"/>
          <w:b/>
          <w:bCs/>
          <w:color w:val="000000"/>
          <w:sz w:val="32"/>
          <w:szCs w:val="32"/>
          <w:lang w:val="en-US" w:eastAsia="zh-CN"/>
        </w:rPr>
        <w:t>一</w:t>
      </w:r>
    </w:p>
    <w:p>
      <w:pPr>
        <w:spacing w:line="440" w:lineRule="exact"/>
        <w:jc w:val="center"/>
        <w:rPr>
          <w:rFonts w:ascii="宋体" w:hAnsi="宋体"/>
          <w:b/>
          <w:bCs/>
          <w:color w:val="000000"/>
          <w:sz w:val="32"/>
          <w:szCs w:val="32"/>
        </w:rPr>
      </w:pPr>
      <w:r>
        <w:rPr>
          <w:rFonts w:hint="eastAsia" w:ascii="宋体" w:hAnsi="宋体"/>
          <w:b/>
          <w:bCs/>
          <w:color w:val="000000"/>
          <w:sz w:val="32"/>
          <w:szCs w:val="32"/>
        </w:rPr>
        <w:t>保 密 协 议</w:t>
      </w:r>
    </w:p>
    <w:p>
      <w:pPr>
        <w:spacing w:line="440" w:lineRule="exact"/>
        <w:rPr>
          <w:rFonts w:ascii="宋体" w:hAnsi="宋体"/>
          <w:color w:val="000000"/>
          <w:sz w:val="24"/>
        </w:rPr>
      </w:pPr>
    </w:p>
    <w:p>
      <w:pPr>
        <w:spacing w:line="440" w:lineRule="exact"/>
        <w:rPr>
          <w:rFonts w:ascii="宋体" w:hAnsi="宋体"/>
          <w:color w:val="000000"/>
          <w:sz w:val="24"/>
        </w:rPr>
      </w:pPr>
      <w:r>
        <w:rPr>
          <w:rFonts w:hint="eastAsia" w:ascii="宋体" w:hAnsi="宋体"/>
          <w:color w:val="000000"/>
          <w:sz w:val="24"/>
        </w:rPr>
        <w:t>甲方（委托人）：</w:t>
      </w:r>
      <w:r>
        <w:rPr>
          <w:rFonts w:hint="eastAsia" w:ascii="宋体" w:hAnsi="宋体" w:cs="仿宋_GB2312"/>
          <w:color w:val="000000"/>
          <w:sz w:val="24"/>
        </w:rPr>
        <w:t>东莞市安之联置业有限公司</w:t>
      </w:r>
      <w:r>
        <w:rPr>
          <w:rFonts w:hint="eastAsia" w:ascii="宋体" w:hAnsi="宋体"/>
          <w:color w:val="000000"/>
          <w:sz w:val="24"/>
        </w:rPr>
        <w:t xml:space="preserve">                                                                </w:t>
      </w:r>
    </w:p>
    <w:p>
      <w:pPr>
        <w:spacing w:line="440" w:lineRule="exact"/>
        <w:rPr>
          <w:rFonts w:ascii="宋体" w:hAnsi="宋体"/>
          <w:color w:val="000000"/>
          <w:sz w:val="24"/>
        </w:rPr>
      </w:pPr>
      <w:r>
        <w:rPr>
          <w:rFonts w:hint="eastAsia" w:ascii="宋体" w:hAnsi="宋体"/>
          <w:color w:val="000000"/>
          <w:sz w:val="24"/>
        </w:rPr>
        <w:t xml:space="preserve">乙方（咨询人）：                                 </w:t>
      </w:r>
    </w:p>
    <w:p>
      <w:pPr>
        <w:spacing w:line="440" w:lineRule="exact"/>
        <w:rPr>
          <w:rFonts w:ascii="宋体" w:hAnsi="宋体"/>
          <w:color w:val="000000"/>
          <w:sz w:val="24"/>
        </w:rPr>
      </w:pPr>
      <w:r>
        <w:rPr>
          <w:rFonts w:hint="eastAsia" w:ascii="宋体" w:hAnsi="宋体"/>
          <w:color w:val="000000"/>
          <w:sz w:val="24"/>
        </w:rPr>
        <w:t xml:space="preserve">    鉴于：在乙方为甲方实施</w:t>
      </w:r>
      <w:r>
        <w:rPr>
          <w:rFonts w:hint="eastAsia" w:ascii="宋体" w:hAnsi="宋体" w:cs="仿宋_GB2312"/>
          <w:color w:val="000000"/>
          <w:sz w:val="24"/>
          <w:u w:val="single"/>
        </w:rPr>
        <w:t>安联湾区时代项目总承包工程造价咨询服务</w:t>
      </w:r>
      <w:r>
        <w:rPr>
          <w:rFonts w:hint="eastAsia" w:ascii="宋体" w:hAnsi="宋体"/>
          <w:color w:val="000000"/>
          <w:sz w:val="24"/>
        </w:rPr>
        <w:t>项目的过程中,甲方可能向乙方披露或乙方主动知悉一定的机密信息、技术资料和其他信息(下称“保密信息</w:t>
      </w:r>
      <w:r>
        <w:rPr>
          <w:rFonts w:ascii="宋体" w:hAnsi="宋体"/>
          <w:color w:val="000000"/>
          <w:sz w:val="24"/>
        </w:rPr>
        <w:t>”</w:t>
      </w:r>
      <w:r>
        <w:rPr>
          <w:rFonts w:hint="eastAsia" w:ascii="宋体" w:hAnsi="宋体"/>
          <w:color w:val="000000"/>
          <w:sz w:val="24"/>
        </w:rPr>
        <w:t>)。为使合作得以开展，双方就上述保密信息披露事项签订协议如下:</w:t>
      </w:r>
    </w:p>
    <w:p>
      <w:pPr>
        <w:spacing w:line="440" w:lineRule="exact"/>
        <w:ind w:firstLine="480" w:firstLineChars="200"/>
        <w:rPr>
          <w:rFonts w:ascii="宋体" w:hAnsi="宋体"/>
          <w:color w:val="000000"/>
          <w:sz w:val="24"/>
        </w:rPr>
      </w:pPr>
      <w:r>
        <w:rPr>
          <w:rFonts w:hint="eastAsia" w:ascii="宋体" w:hAnsi="宋体"/>
          <w:color w:val="000000"/>
          <w:sz w:val="24"/>
        </w:rPr>
        <w:t>第一条:乙方应对甲方提供的所有保密信息严格保密,且未经甲方书面同意,不得向任何单位和个人披露全部或任何部分保密信息。甲方</w:t>
      </w:r>
      <w:r>
        <w:rPr>
          <w:rFonts w:hint="eastAsia" w:ascii="宋体" w:hAnsi="宋体"/>
          <w:color w:val="000000"/>
          <w:sz w:val="24"/>
          <w:lang w:val="en-US" w:eastAsia="zh-CN"/>
        </w:rPr>
        <w:t>应</w:t>
      </w:r>
      <w:r>
        <w:rPr>
          <w:rFonts w:hint="eastAsia" w:ascii="宋体" w:hAnsi="宋体"/>
          <w:color w:val="000000"/>
          <w:sz w:val="24"/>
        </w:rPr>
        <w:t>提醒乙方</w:t>
      </w:r>
      <w:r>
        <w:rPr>
          <w:rFonts w:hint="eastAsia" w:ascii="宋体" w:hAnsi="宋体"/>
          <w:color w:val="000000"/>
          <w:sz w:val="24"/>
          <w:lang w:val="en-US" w:eastAsia="zh-CN"/>
        </w:rPr>
        <w:t>注意保密</w:t>
      </w:r>
      <w:r>
        <w:rPr>
          <w:rFonts w:hint="eastAsia" w:ascii="宋体" w:hAnsi="宋体"/>
          <w:color w:val="000000"/>
          <w:sz w:val="24"/>
        </w:rPr>
        <w:t>，但甲方未尽提醒义务并不能免除乙方泄密的违约责任。</w:t>
      </w:r>
    </w:p>
    <w:p>
      <w:pPr>
        <w:spacing w:line="440" w:lineRule="exact"/>
        <w:ind w:firstLine="480" w:firstLineChars="200"/>
        <w:rPr>
          <w:rFonts w:ascii="宋体" w:hAnsi="宋体"/>
          <w:color w:val="000000"/>
          <w:sz w:val="24"/>
        </w:rPr>
      </w:pPr>
      <w:r>
        <w:rPr>
          <w:rFonts w:hint="eastAsia" w:ascii="宋体" w:hAnsi="宋体"/>
          <w:color w:val="000000"/>
          <w:sz w:val="24"/>
        </w:rPr>
        <w:t>第二条: 本协议所称保密信息应当包括甲方提供给乙方的甲方及/或关联公司的合同、图纸、会审纪要、变更通知、隐蔽工程验收单、材料价格、工业图集等；双方所有来往信函、备忘录、摘要、研究报告、模式、信息摘要和记录,同时还应该包括所有的复印及其他相关的复制品,而无论载体为书面、电子版本、磁盘或音像资料抑或其他任何形。保密信息内容包括但不限于:</w:t>
      </w:r>
    </w:p>
    <w:p>
      <w:pPr>
        <w:numPr>
          <w:ilvl w:val="0"/>
          <w:numId w:val="7"/>
        </w:numPr>
        <w:tabs>
          <w:tab w:val="left" w:pos="0"/>
          <w:tab w:val="left" w:pos="720"/>
          <w:tab w:val="clear" w:pos="360"/>
        </w:tabs>
        <w:spacing w:line="440" w:lineRule="exact"/>
        <w:ind w:left="0" w:firstLine="360" w:firstLineChars="150"/>
        <w:rPr>
          <w:rFonts w:ascii="宋体" w:hAnsi="宋体"/>
          <w:color w:val="000000"/>
          <w:sz w:val="24"/>
        </w:rPr>
      </w:pPr>
      <w:r>
        <w:rPr>
          <w:rFonts w:hint="eastAsia" w:ascii="宋体" w:hAnsi="宋体"/>
          <w:color w:val="000000"/>
          <w:sz w:val="24"/>
        </w:rPr>
        <w:t>生产秘密,包括但不限于生产规模、设备、原料等的来源渠道、价格,生产方式,原料的质量、数量,产品的生产成本、产品的定价等。</w:t>
      </w:r>
    </w:p>
    <w:p>
      <w:pPr>
        <w:numPr>
          <w:ilvl w:val="0"/>
          <w:numId w:val="7"/>
        </w:numPr>
        <w:tabs>
          <w:tab w:val="left" w:pos="0"/>
          <w:tab w:val="left" w:pos="720"/>
          <w:tab w:val="clear" w:pos="360"/>
        </w:tabs>
        <w:spacing w:line="440" w:lineRule="exact"/>
        <w:ind w:left="0" w:firstLine="360" w:firstLineChars="150"/>
        <w:rPr>
          <w:rFonts w:ascii="宋体" w:hAnsi="宋体"/>
          <w:color w:val="000000"/>
          <w:sz w:val="24"/>
        </w:rPr>
      </w:pPr>
      <w:r>
        <w:rPr>
          <w:rFonts w:hint="eastAsia" w:ascii="宋体" w:hAnsi="宋体"/>
          <w:color w:val="000000"/>
          <w:sz w:val="24"/>
        </w:rPr>
        <w:t>经营秘密,包括但不限于企业经营方针,投资决策意向,市场分析数据,市场宣传方式、融资方案。</w:t>
      </w:r>
    </w:p>
    <w:p>
      <w:pPr>
        <w:numPr>
          <w:ilvl w:val="0"/>
          <w:numId w:val="7"/>
        </w:numPr>
        <w:tabs>
          <w:tab w:val="left" w:pos="0"/>
          <w:tab w:val="left" w:pos="720"/>
          <w:tab w:val="clear" w:pos="360"/>
        </w:tabs>
        <w:spacing w:line="440" w:lineRule="exact"/>
        <w:ind w:left="0" w:firstLine="360" w:firstLineChars="150"/>
        <w:rPr>
          <w:rFonts w:ascii="宋体" w:hAnsi="宋体"/>
          <w:color w:val="000000"/>
          <w:sz w:val="24"/>
        </w:rPr>
      </w:pPr>
      <w:r>
        <w:rPr>
          <w:rFonts w:hint="eastAsia" w:ascii="宋体" w:hAnsi="宋体"/>
          <w:color w:val="000000"/>
          <w:sz w:val="24"/>
        </w:rPr>
        <w:t>技术秘密,包括但不限于项目设计、图纸、工艺、技术数据、科研成果、专利数据、计算机程序。</w:t>
      </w:r>
    </w:p>
    <w:p>
      <w:pPr>
        <w:numPr>
          <w:ilvl w:val="0"/>
          <w:numId w:val="7"/>
        </w:numPr>
        <w:tabs>
          <w:tab w:val="left" w:pos="0"/>
          <w:tab w:val="left" w:pos="720"/>
          <w:tab w:val="clear" w:pos="360"/>
        </w:tabs>
        <w:spacing w:line="440" w:lineRule="exact"/>
        <w:ind w:left="0" w:firstLine="360" w:firstLineChars="150"/>
        <w:rPr>
          <w:rFonts w:ascii="宋体" w:hAnsi="宋体"/>
          <w:color w:val="000000"/>
          <w:sz w:val="24"/>
        </w:rPr>
      </w:pPr>
      <w:r>
        <w:rPr>
          <w:rFonts w:hint="eastAsia" w:ascii="宋体" w:hAnsi="宋体"/>
          <w:color w:val="000000"/>
          <w:sz w:val="24"/>
        </w:rPr>
        <w:t>合作秘密,包括但不限于本次双方合作的内容、进程和任何待决或已决的意向、历史记录等与本次合作相关的信息。</w:t>
      </w:r>
    </w:p>
    <w:p>
      <w:pPr>
        <w:pStyle w:val="139"/>
        <w:numPr>
          <w:ilvl w:val="0"/>
          <w:numId w:val="7"/>
        </w:numPr>
        <w:tabs>
          <w:tab w:val="left" w:pos="720"/>
          <w:tab w:val="clear" w:pos="360"/>
        </w:tabs>
        <w:spacing w:line="400" w:lineRule="exact"/>
        <w:ind w:left="720" w:firstLineChars="0"/>
        <w:rPr>
          <w:sz w:val="24"/>
        </w:rPr>
      </w:pPr>
      <w:r>
        <w:rPr>
          <w:rFonts w:hint="eastAsia"/>
          <w:sz w:val="24"/>
        </w:rPr>
        <w:t>管理秘密，包括但不限于提供方的财务数据、人事数据、薪酬数据。</w:t>
      </w:r>
    </w:p>
    <w:p>
      <w:pPr>
        <w:numPr>
          <w:ilvl w:val="0"/>
          <w:numId w:val="7"/>
        </w:numPr>
        <w:tabs>
          <w:tab w:val="left" w:pos="0"/>
          <w:tab w:val="left" w:pos="720"/>
          <w:tab w:val="clear" w:pos="360"/>
        </w:tabs>
        <w:spacing w:line="440" w:lineRule="exact"/>
        <w:ind w:left="0" w:firstLine="360" w:firstLineChars="150"/>
        <w:rPr>
          <w:rFonts w:ascii="宋体" w:hAnsi="宋体"/>
          <w:color w:val="000000"/>
          <w:sz w:val="24"/>
        </w:rPr>
      </w:pPr>
      <w:r>
        <w:rPr>
          <w:rFonts w:hint="eastAsia"/>
          <w:sz w:val="24"/>
        </w:rPr>
        <w:t>销售秘密，包括但不限于产品销售的渠道，客户数据，产品销售价格、地点、数量、方式。</w:t>
      </w:r>
    </w:p>
    <w:p>
      <w:pPr>
        <w:numPr>
          <w:ilvl w:val="0"/>
          <w:numId w:val="7"/>
        </w:numPr>
        <w:tabs>
          <w:tab w:val="left" w:pos="0"/>
          <w:tab w:val="left" w:pos="720"/>
          <w:tab w:val="clear" w:pos="360"/>
        </w:tabs>
        <w:spacing w:line="440" w:lineRule="exact"/>
        <w:ind w:left="0" w:firstLine="360" w:firstLineChars="150"/>
        <w:rPr>
          <w:rFonts w:ascii="宋体" w:hAnsi="宋体"/>
          <w:color w:val="000000"/>
          <w:sz w:val="24"/>
        </w:rPr>
      </w:pPr>
      <w:r>
        <w:rPr>
          <w:rFonts w:hint="eastAsia" w:ascii="宋体" w:hAnsi="宋体"/>
          <w:color w:val="000000"/>
          <w:sz w:val="24"/>
        </w:rPr>
        <w:t>其他秘密,包括但不限于所有通过公共渠道无法获得的以纸张、实物、磁(光)盘、磁带、仪器及以其他任何形式为载体的与本次合作内容相关的信息。</w:t>
      </w:r>
    </w:p>
    <w:p>
      <w:pPr>
        <w:spacing w:line="440" w:lineRule="exact"/>
        <w:ind w:firstLine="480" w:firstLineChars="200"/>
        <w:rPr>
          <w:rFonts w:ascii="宋体" w:hAnsi="宋体"/>
          <w:color w:val="000000"/>
          <w:sz w:val="24"/>
        </w:rPr>
      </w:pPr>
      <w:r>
        <w:rPr>
          <w:rFonts w:hint="eastAsia" w:ascii="宋体" w:hAnsi="宋体"/>
          <w:color w:val="000000"/>
          <w:sz w:val="24"/>
        </w:rPr>
        <w:t>第三条:本协议所称保密信息不包括已进入公知领域的信息。</w:t>
      </w:r>
    </w:p>
    <w:p>
      <w:pPr>
        <w:spacing w:line="440" w:lineRule="exact"/>
        <w:ind w:firstLine="480" w:firstLineChars="200"/>
        <w:rPr>
          <w:rFonts w:ascii="宋体" w:hAnsi="宋体"/>
          <w:color w:val="000000"/>
          <w:sz w:val="24"/>
        </w:rPr>
      </w:pPr>
      <w:r>
        <w:rPr>
          <w:rFonts w:hint="eastAsia" w:ascii="宋体" w:hAnsi="宋体"/>
          <w:color w:val="000000"/>
          <w:sz w:val="24"/>
        </w:rPr>
        <w:t>第四条:在没有甲方事先书面同意的情况下, 除了用于本协议的目的之外，乙方不得为了任何目的披露或使用全部或部分保密信息。</w:t>
      </w:r>
    </w:p>
    <w:p>
      <w:pPr>
        <w:spacing w:line="440" w:lineRule="exact"/>
        <w:ind w:firstLine="480" w:firstLineChars="200"/>
        <w:rPr>
          <w:rFonts w:ascii="宋体" w:hAnsi="宋体"/>
          <w:color w:val="000000"/>
          <w:sz w:val="24"/>
        </w:rPr>
      </w:pPr>
      <w:r>
        <w:rPr>
          <w:rFonts w:hint="eastAsia" w:ascii="宋体" w:hAnsi="宋体"/>
          <w:color w:val="000000"/>
          <w:sz w:val="24"/>
        </w:rPr>
        <w:t>第五条：在没有甲方事先书面同意的情况下,乙方不得就本协议及双方于本协议下的合作做出任何公开声明或以任何方式与任何第三方进行任何沟通.</w:t>
      </w:r>
    </w:p>
    <w:p>
      <w:pPr>
        <w:spacing w:line="440" w:lineRule="exact"/>
        <w:ind w:firstLine="480" w:firstLineChars="200"/>
        <w:rPr>
          <w:rFonts w:ascii="宋体" w:hAnsi="宋体"/>
          <w:color w:val="000000"/>
          <w:sz w:val="24"/>
        </w:rPr>
      </w:pPr>
      <w:r>
        <w:rPr>
          <w:rFonts w:hint="eastAsia" w:ascii="宋体" w:hAnsi="宋体"/>
          <w:color w:val="000000"/>
          <w:sz w:val="24"/>
        </w:rPr>
        <w:t>第六条:甲方于任何时间可自行判断终止向乙方进一步提供保密信息。乙方同意终止本协议时,所有保密之信息必须立即(接到终止要求14天之内)返还甲方并销毁乙方保留的所有复件。如有按国家法律法规强制规定需作为工程技术档案保留的保密信息,则必须由乙方向甲方提供此类强制规定后双方共同整理归档,并在双方共同在场的情况下予以封存,以后政府有权机构调阅时,乙方应书面通知甲方到场方可提供。此行为不影响双方在协议下的其他保密义务。</w:t>
      </w:r>
    </w:p>
    <w:p>
      <w:pPr>
        <w:spacing w:line="440" w:lineRule="exact"/>
        <w:ind w:firstLine="480" w:firstLineChars="200"/>
        <w:rPr>
          <w:rFonts w:ascii="宋体" w:hAnsi="宋体"/>
          <w:color w:val="000000"/>
          <w:sz w:val="24"/>
        </w:rPr>
      </w:pPr>
      <w:r>
        <w:rPr>
          <w:rFonts w:hint="eastAsia" w:ascii="宋体" w:hAnsi="宋体"/>
          <w:color w:val="000000"/>
          <w:sz w:val="24"/>
        </w:rPr>
        <w:t>第</w:t>
      </w:r>
      <w:r>
        <w:rPr>
          <w:rFonts w:hint="eastAsia" w:ascii="宋体" w:hAnsi="宋体"/>
          <w:color w:val="000000"/>
          <w:sz w:val="24"/>
          <w:lang w:val="en-US" w:eastAsia="zh-CN"/>
        </w:rPr>
        <w:t>七</w:t>
      </w:r>
      <w:r>
        <w:rPr>
          <w:rFonts w:hint="eastAsia" w:ascii="宋体" w:hAnsi="宋体"/>
          <w:color w:val="000000"/>
          <w:sz w:val="24"/>
        </w:rPr>
        <w:t>条:如果法律要求或政府有权机构强制命令或要求乙方披露资料或信息或其他任何部分或复印、复制或以其他方式使用资料或信息,则上述规定不限制乙方照此办理。乙方应立即向甲方提供被要求披露内容的完整描述,且应当对所需透露信息寻求最大程度的保密,且乙方应尽最大努力,为甲方提供其与有关机构就披露范围进行协商的机会。</w:t>
      </w:r>
    </w:p>
    <w:p>
      <w:pPr>
        <w:spacing w:line="440" w:lineRule="exact"/>
        <w:ind w:firstLine="480" w:firstLineChars="200"/>
        <w:rPr>
          <w:rFonts w:ascii="宋体" w:hAnsi="宋体"/>
          <w:color w:val="000000"/>
          <w:sz w:val="24"/>
        </w:rPr>
      </w:pPr>
      <w:r>
        <w:rPr>
          <w:rFonts w:hint="eastAsia" w:ascii="宋体" w:hAnsi="宋体"/>
          <w:color w:val="000000"/>
          <w:sz w:val="24"/>
        </w:rPr>
        <w:t>第</w:t>
      </w:r>
      <w:r>
        <w:rPr>
          <w:rFonts w:hint="eastAsia" w:ascii="宋体" w:hAnsi="宋体"/>
          <w:color w:val="000000"/>
          <w:sz w:val="24"/>
          <w:lang w:val="en-US" w:eastAsia="zh-CN"/>
        </w:rPr>
        <w:t>八</w:t>
      </w:r>
      <w:r>
        <w:rPr>
          <w:rFonts w:hint="eastAsia" w:ascii="宋体" w:hAnsi="宋体"/>
          <w:color w:val="000000"/>
          <w:sz w:val="24"/>
        </w:rPr>
        <w:t>条:本协议由中华人民共和国法律管辖并依据其解释</w:t>
      </w:r>
      <w:r>
        <w:rPr>
          <w:rFonts w:hint="eastAsia" w:ascii="宋体" w:hAnsi="宋体"/>
          <w:color w:val="000000"/>
          <w:sz w:val="24"/>
          <w:lang w:eastAsia="zh-CN"/>
        </w:rPr>
        <w:t>，</w:t>
      </w:r>
      <w:r>
        <w:rPr>
          <w:rFonts w:hint="eastAsia" w:ascii="宋体" w:hAnsi="宋体"/>
          <w:color w:val="000000"/>
          <w:sz w:val="24"/>
        </w:rPr>
        <w:t>若发生任何与本协议有关的争议,协议双方必须首先进行友好协商</w:t>
      </w:r>
      <w:r>
        <w:rPr>
          <w:rFonts w:hint="eastAsia" w:ascii="宋体" w:hAnsi="宋体"/>
          <w:color w:val="000000"/>
          <w:sz w:val="24"/>
          <w:lang w:eastAsia="zh-CN"/>
        </w:rPr>
        <w:t>。</w:t>
      </w:r>
      <w:r>
        <w:rPr>
          <w:rFonts w:hint="eastAsia" w:ascii="宋体" w:hAnsi="宋体"/>
          <w:color w:val="000000"/>
          <w:sz w:val="24"/>
        </w:rPr>
        <w:t>因履行本协议所发生或与本协议有关的争议，在争议发生后六十天内未能通过协商解决的,双方可以向甲方所在地人民法院提起诉讼，败诉方必须履行判决并承担诉讼费用。</w:t>
      </w:r>
    </w:p>
    <w:p>
      <w:pPr>
        <w:spacing w:line="440" w:lineRule="exact"/>
        <w:ind w:firstLine="480" w:firstLineChars="200"/>
        <w:rPr>
          <w:rFonts w:ascii="宋体" w:hAnsi="宋体"/>
          <w:color w:val="000000"/>
          <w:sz w:val="24"/>
        </w:rPr>
      </w:pPr>
      <w:r>
        <w:rPr>
          <w:rFonts w:hint="eastAsia" w:ascii="宋体" w:hAnsi="宋体"/>
          <w:color w:val="000000"/>
          <w:sz w:val="24"/>
        </w:rPr>
        <w:t>第</w:t>
      </w:r>
      <w:r>
        <w:rPr>
          <w:rFonts w:hint="eastAsia" w:ascii="宋体" w:hAnsi="宋体"/>
          <w:color w:val="000000"/>
          <w:sz w:val="24"/>
          <w:lang w:val="en-US" w:eastAsia="zh-CN"/>
        </w:rPr>
        <w:t>九</w:t>
      </w:r>
      <w:r>
        <w:rPr>
          <w:rFonts w:hint="eastAsia" w:ascii="宋体" w:hAnsi="宋体"/>
          <w:color w:val="000000"/>
          <w:sz w:val="24"/>
        </w:rPr>
        <w:t>条:双方对有关保密信息的保密义务应当自本协议签署后生效并持续到双方合作完毕后满[1]年或本协议被解除或终止之后[1]年。</w:t>
      </w:r>
    </w:p>
    <w:p>
      <w:pPr>
        <w:spacing w:line="440" w:lineRule="exact"/>
        <w:rPr>
          <w:rFonts w:ascii="宋体" w:hAnsi="宋体"/>
          <w:color w:val="000000"/>
          <w:sz w:val="24"/>
        </w:rPr>
      </w:pPr>
    </w:p>
    <w:p>
      <w:pPr>
        <w:spacing w:line="440" w:lineRule="exact"/>
        <w:rPr>
          <w:rFonts w:ascii="宋体" w:hAnsi="宋体"/>
          <w:color w:val="000000"/>
          <w:sz w:val="24"/>
        </w:rPr>
      </w:pPr>
      <w:r>
        <w:rPr>
          <w:rFonts w:hint="eastAsia" w:ascii="宋体" w:hAnsi="宋体"/>
          <w:color w:val="000000"/>
          <w:sz w:val="24"/>
        </w:rPr>
        <w:t>甲方:           (盖章)              乙方:       (盖章)</w:t>
      </w:r>
    </w:p>
    <w:p>
      <w:pPr>
        <w:spacing w:line="440" w:lineRule="exact"/>
        <w:rPr>
          <w:rFonts w:ascii="宋体" w:hAnsi="宋体"/>
          <w:color w:val="000000"/>
          <w:sz w:val="24"/>
        </w:rPr>
      </w:pPr>
    </w:p>
    <w:p>
      <w:pPr>
        <w:spacing w:line="440" w:lineRule="exact"/>
        <w:rPr>
          <w:rFonts w:ascii="宋体" w:hAnsi="宋体"/>
          <w:color w:val="000000"/>
          <w:sz w:val="24"/>
        </w:rPr>
      </w:pPr>
      <w:r>
        <w:rPr>
          <w:rFonts w:hint="eastAsia" w:ascii="宋体" w:hAnsi="宋体"/>
          <w:color w:val="000000"/>
          <w:sz w:val="24"/>
        </w:rPr>
        <w:t xml:space="preserve">授权代表(签名):                     授权代表(签名): </w:t>
      </w:r>
    </w:p>
    <w:p>
      <w:pPr>
        <w:spacing w:line="440" w:lineRule="exact"/>
        <w:rPr>
          <w:rFonts w:ascii="宋体" w:hAnsi="宋体"/>
          <w:color w:val="000000"/>
          <w:sz w:val="24"/>
        </w:rPr>
      </w:pPr>
    </w:p>
    <w:p>
      <w:pPr>
        <w:spacing w:line="440" w:lineRule="exact"/>
        <w:jc w:val="left"/>
        <w:rPr>
          <w:rFonts w:ascii="宋体" w:hAnsi="宋体"/>
          <w:color w:val="000000"/>
          <w:sz w:val="24"/>
        </w:rPr>
      </w:pPr>
      <w:r>
        <w:rPr>
          <w:rFonts w:hint="eastAsia" w:ascii="宋体" w:hAnsi="宋体"/>
          <w:color w:val="000000"/>
          <w:sz w:val="24"/>
        </w:rPr>
        <w:t>日期:                               日期:</w:t>
      </w:r>
    </w:p>
    <w:p>
      <w:pPr>
        <w:rPr>
          <w:rFonts w:ascii="宋体" w:hAnsi="宋体"/>
          <w:color w:val="000000"/>
          <w:sz w:val="24"/>
        </w:rPr>
      </w:pPr>
      <w:r>
        <w:rPr>
          <w:rFonts w:hint="eastAsia" w:ascii="宋体" w:hAnsi="宋体"/>
          <w:color w:val="000000"/>
          <w:sz w:val="24"/>
        </w:rPr>
        <w:br w:type="page"/>
      </w:r>
    </w:p>
    <w:p>
      <w:pPr>
        <w:jc w:val="both"/>
        <w:rPr>
          <w:rFonts w:hint="eastAsia" w:ascii="宋体" w:hAnsi="宋体" w:cs="宋体"/>
          <w:b/>
          <w:bCs/>
          <w:sz w:val="28"/>
          <w:szCs w:val="28"/>
          <w:lang w:val="en-US" w:eastAsia="zh-CN"/>
        </w:rPr>
      </w:pPr>
      <w:r>
        <w:rPr>
          <w:rFonts w:hint="eastAsia" w:ascii="宋体" w:hAnsi="宋体" w:cs="宋体"/>
          <w:b/>
          <w:bCs/>
          <w:sz w:val="28"/>
          <w:szCs w:val="28"/>
          <w:lang w:val="en-US" w:eastAsia="zh-CN"/>
        </w:rPr>
        <w:t>附件二：</w:t>
      </w:r>
    </w:p>
    <w:p>
      <w:pPr>
        <w:jc w:val="center"/>
        <w:rPr>
          <w:rFonts w:ascii="宋体" w:hAnsi="宋体" w:cs="宋体"/>
          <w:sz w:val="24"/>
          <w:szCs w:val="24"/>
        </w:rPr>
      </w:pPr>
      <w:r>
        <w:rPr>
          <w:rFonts w:hint="eastAsia" w:ascii="宋体" w:hAnsi="宋体" w:cs="宋体"/>
          <w:b/>
          <w:bCs/>
          <w:sz w:val="28"/>
          <w:szCs w:val="28"/>
        </w:rPr>
        <w:t>廉政协议</w:t>
      </w:r>
    </w:p>
    <w:p>
      <w:pPr>
        <w:spacing w:line="480" w:lineRule="auto"/>
        <w:rPr>
          <w:rFonts w:ascii="宋体" w:hAnsi="宋体" w:cs="宋体"/>
          <w:bCs/>
          <w:sz w:val="24"/>
        </w:rPr>
      </w:pPr>
      <w:r>
        <w:rPr>
          <w:rFonts w:hint="eastAsia" w:ascii="宋体" w:hAnsi="宋体" w:cs="宋体"/>
          <w:bCs/>
          <w:sz w:val="24"/>
        </w:rPr>
        <w:t>甲方：</w:t>
      </w:r>
      <w:r>
        <w:rPr>
          <w:rFonts w:hint="eastAsia" w:hAnsi="宋体" w:cs="宋体"/>
          <w:bCs/>
          <w:sz w:val="24"/>
        </w:rPr>
        <w:t xml:space="preserve"> </w:t>
      </w:r>
      <w:r>
        <w:rPr>
          <w:rFonts w:hint="eastAsia" w:hAnsi="宋体" w:cs="宋体"/>
          <w:bCs/>
          <w:sz w:val="24"/>
          <w:lang w:val="en-US" w:eastAsia="zh-CN"/>
        </w:rPr>
        <w:t>东莞市安之联置业有限公司</w:t>
      </w:r>
      <w:r>
        <w:rPr>
          <w:rFonts w:hint="eastAsia" w:ascii="宋体" w:hAnsi="宋体" w:cs="宋体"/>
          <w:bCs/>
          <w:sz w:val="24"/>
        </w:rPr>
        <w:t xml:space="preserve">  </w:t>
      </w:r>
    </w:p>
    <w:p>
      <w:pPr>
        <w:spacing w:line="360" w:lineRule="auto"/>
        <w:rPr>
          <w:rFonts w:ascii="宋体" w:hAnsi="宋体" w:cs="宋体"/>
          <w:sz w:val="24"/>
        </w:rPr>
      </w:pPr>
      <w:r>
        <w:rPr>
          <w:rFonts w:hint="eastAsia" w:ascii="宋体" w:hAnsi="宋体" w:cs="宋体"/>
          <w:bCs/>
          <w:sz w:val="24"/>
        </w:rPr>
        <w:t>乙方：</w:t>
      </w:r>
      <w:r>
        <w:rPr>
          <w:rFonts w:hint="eastAsia" w:hAnsi="宋体" w:cs="宋体"/>
          <w:bCs/>
          <w:sz w:val="24"/>
        </w:rPr>
        <w:t xml:space="preserve"> </w:t>
      </w:r>
      <w:r>
        <w:rPr>
          <w:rFonts w:hint="eastAsia" w:ascii="宋体" w:hAnsi="宋体" w:cs="宋体"/>
          <w:bCs/>
          <w:sz w:val="24"/>
        </w:rPr>
        <w:t xml:space="preserve">  </w:t>
      </w:r>
    </w:p>
    <w:p>
      <w:pPr>
        <w:spacing w:line="480" w:lineRule="auto"/>
        <w:ind w:firstLine="360" w:firstLineChars="150"/>
        <w:rPr>
          <w:rFonts w:ascii="宋体" w:hAnsi="宋体" w:cs="宋体"/>
          <w:bCs/>
          <w:sz w:val="24"/>
        </w:rPr>
      </w:pPr>
      <w:r>
        <w:rPr>
          <w:rFonts w:hint="eastAsia" w:ascii="宋体" w:hAnsi="宋体" w:cs="宋体"/>
          <w:bCs/>
          <w:sz w:val="24"/>
        </w:rPr>
        <w:t>为认真贯彻中央和省委关于加大反腐败斗争力度的精神，推进廉政建设，预防和减少建设工程中的经济犯罪，共同维护建筑市场的秩序，遏制“工程上马，干部下马”的现象的发生，确保工程建设达到“工程优良、干部优先”的目标，工程甲方和乙方自愿签订建设工程廉政协议：</w:t>
      </w:r>
    </w:p>
    <w:p>
      <w:pPr>
        <w:spacing w:line="480" w:lineRule="auto"/>
        <w:rPr>
          <w:rFonts w:ascii="宋体" w:hAnsi="宋体" w:cs="宋体"/>
          <w:bCs/>
          <w:sz w:val="24"/>
        </w:rPr>
      </w:pPr>
      <w:r>
        <w:rPr>
          <w:rFonts w:hint="eastAsia" w:ascii="宋体" w:hAnsi="宋体" w:cs="宋体"/>
          <w:bCs/>
          <w:sz w:val="24"/>
        </w:rPr>
        <w:t>一、乙方不得以任何形式向甲方人员赠送各种礼品、礼券或现金，甲方人员不得以任何借口收受各种礼品、礼券或现金。如有违反，将由有关单位视情节轻重，对甲、乙方人员给予批评教育、行政处分、党纪处分，直至追究刑事责任。</w:t>
      </w:r>
    </w:p>
    <w:p>
      <w:pPr>
        <w:spacing w:line="480" w:lineRule="auto"/>
        <w:rPr>
          <w:rFonts w:ascii="宋体" w:hAnsi="宋体" w:cs="宋体"/>
          <w:bCs/>
          <w:sz w:val="24"/>
        </w:rPr>
      </w:pPr>
      <w:r>
        <w:rPr>
          <w:rFonts w:hint="eastAsia" w:ascii="宋体" w:hAnsi="宋体" w:cs="宋体"/>
          <w:bCs/>
          <w:sz w:val="24"/>
        </w:rPr>
        <w:t>二、乙方在工程建设贿赂甲方人员，经甲方检举被立案查处的，甲方有权中止工程项目承包合同，乙方承担甲方因此造成的损失。</w:t>
      </w:r>
    </w:p>
    <w:p>
      <w:pPr>
        <w:spacing w:line="480" w:lineRule="auto"/>
        <w:rPr>
          <w:rFonts w:ascii="宋体" w:hAnsi="宋体" w:cs="宋体"/>
          <w:bCs/>
          <w:sz w:val="24"/>
        </w:rPr>
      </w:pPr>
      <w:r>
        <w:rPr>
          <w:rFonts w:hint="eastAsia" w:ascii="宋体" w:hAnsi="宋体" w:cs="宋体"/>
          <w:bCs/>
          <w:sz w:val="24"/>
        </w:rPr>
        <w:t>三、甲方人员向乙方索贿，经乙方检举立案查处的，甲方奖励乙方被索贿1-3倍的资金，此款由索贿人承担。</w:t>
      </w:r>
    </w:p>
    <w:p>
      <w:pPr>
        <w:spacing w:line="480" w:lineRule="auto"/>
        <w:rPr>
          <w:rFonts w:ascii="宋体" w:hAnsi="宋体" w:cs="宋体"/>
          <w:bCs/>
          <w:sz w:val="24"/>
        </w:rPr>
      </w:pPr>
      <w:r>
        <w:rPr>
          <w:rFonts w:hint="eastAsia" w:ascii="宋体" w:hAnsi="宋体" w:cs="宋体"/>
          <w:bCs/>
          <w:sz w:val="24"/>
        </w:rPr>
        <w:t>四、甲乙双方人员应禁止赠送、贿赂、收受、索要行为的发生。如有发生，应立即向本单位领导、建设工程招投标管理机关和检查机关报告。对知情不报者，一经查出，视情节轻重给予行政处分、党纪处分、直至追究刑事责任。</w:t>
      </w:r>
    </w:p>
    <w:p>
      <w:pPr>
        <w:spacing w:line="480" w:lineRule="auto"/>
        <w:rPr>
          <w:rFonts w:ascii="宋体" w:hAnsi="宋体" w:cs="宋体"/>
          <w:bCs/>
          <w:sz w:val="24"/>
        </w:rPr>
      </w:pPr>
      <w:r>
        <w:rPr>
          <w:rFonts w:hint="eastAsia" w:ascii="宋体" w:hAnsi="宋体" w:cs="宋体"/>
          <w:bCs/>
          <w:sz w:val="24"/>
        </w:rPr>
        <w:t>五、此协议与建设工程承包合同同时签订，一式</w:t>
      </w:r>
      <w:r>
        <w:rPr>
          <w:rFonts w:hint="eastAsia" w:ascii="宋体" w:hAnsi="宋体" w:cs="宋体"/>
          <w:bCs/>
          <w:sz w:val="24"/>
          <w:u w:val="single"/>
        </w:rPr>
        <w:t xml:space="preserve"> </w:t>
      </w:r>
      <w:r>
        <w:rPr>
          <w:rFonts w:hint="eastAsia" w:hAnsi="宋体" w:cs="宋体"/>
          <w:bCs/>
          <w:sz w:val="24"/>
          <w:u w:val="single"/>
        </w:rPr>
        <w:t xml:space="preserve"> 陆</w:t>
      </w:r>
      <w:r>
        <w:rPr>
          <w:rFonts w:hint="eastAsia" w:ascii="宋体" w:hAnsi="宋体" w:cs="宋体"/>
          <w:bCs/>
          <w:sz w:val="24"/>
        </w:rPr>
        <w:t>份，甲方执</w:t>
      </w:r>
      <w:r>
        <w:rPr>
          <w:rFonts w:hint="eastAsia" w:ascii="宋体" w:hAnsi="宋体" w:cs="宋体"/>
          <w:bCs/>
          <w:sz w:val="24"/>
          <w:u w:val="single"/>
        </w:rPr>
        <w:t xml:space="preserve"> </w:t>
      </w:r>
      <w:r>
        <w:rPr>
          <w:rFonts w:hint="eastAsia" w:ascii="宋体" w:hAnsi="宋体" w:cs="宋体"/>
          <w:bCs/>
          <w:sz w:val="24"/>
          <w:u w:val="single"/>
          <w:lang w:val="en-US" w:eastAsia="zh-CN"/>
        </w:rPr>
        <w:t>肆</w:t>
      </w:r>
      <w:r>
        <w:rPr>
          <w:rFonts w:hint="eastAsia" w:ascii="宋体" w:hAnsi="宋体" w:cs="宋体"/>
          <w:bCs/>
          <w:sz w:val="24"/>
        </w:rPr>
        <w:t>份，乙方执</w:t>
      </w:r>
      <w:r>
        <w:rPr>
          <w:rFonts w:hint="eastAsia" w:ascii="宋体" w:hAnsi="宋体" w:cs="宋体"/>
          <w:bCs/>
          <w:sz w:val="24"/>
          <w:u w:val="single"/>
        </w:rPr>
        <w:t xml:space="preserve"> </w:t>
      </w:r>
      <w:r>
        <w:rPr>
          <w:rFonts w:hint="eastAsia" w:ascii="宋体" w:hAnsi="宋体" w:cs="宋体"/>
          <w:bCs/>
          <w:sz w:val="24"/>
          <w:u w:val="single"/>
          <w:lang w:val="en-US" w:eastAsia="zh-CN"/>
        </w:rPr>
        <w:t>贰</w:t>
      </w:r>
      <w:r>
        <w:rPr>
          <w:rFonts w:hint="eastAsia" w:hAnsi="宋体" w:cs="宋体"/>
          <w:bCs/>
          <w:sz w:val="24"/>
          <w:u w:val="single"/>
        </w:rPr>
        <w:t xml:space="preserve"> </w:t>
      </w:r>
      <w:r>
        <w:rPr>
          <w:rFonts w:hint="eastAsia" w:ascii="宋体" w:hAnsi="宋体" w:cs="宋体"/>
          <w:bCs/>
          <w:sz w:val="24"/>
          <w:u w:val="single"/>
        </w:rPr>
        <w:t xml:space="preserve"> </w:t>
      </w:r>
      <w:r>
        <w:rPr>
          <w:rFonts w:hint="eastAsia" w:ascii="宋体" w:hAnsi="宋体" w:cs="宋体"/>
          <w:bCs/>
          <w:sz w:val="24"/>
        </w:rPr>
        <w:t>份。</w:t>
      </w:r>
    </w:p>
    <w:p>
      <w:pPr>
        <w:spacing w:line="360" w:lineRule="auto"/>
        <w:rPr>
          <w:rFonts w:ascii="宋体" w:hAnsi="宋体" w:cs="宋体"/>
          <w:bCs/>
          <w:sz w:val="24"/>
        </w:rPr>
      </w:pPr>
      <w:r>
        <w:rPr>
          <w:rFonts w:hint="eastAsia" w:ascii="宋体" w:hAnsi="宋体" w:cs="宋体"/>
          <w:bCs/>
          <w:sz w:val="24"/>
        </w:rPr>
        <w:t>甲方  （盖章）：                         乙方（盖章）：</w:t>
      </w:r>
    </w:p>
    <w:p>
      <w:pPr>
        <w:spacing w:line="360" w:lineRule="auto"/>
        <w:rPr>
          <w:rFonts w:ascii="宋体" w:hAnsi="宋体" w:cs="宋体"/>
          <w:bCs/>
          <w:sz w:val="24"/>
        </w:rPr>
      </w:pPr>
      <w:r>
        <w:rPr>
          <w:rFonts w:hint="eastAsia" w:ascii="宋体" w:hAnsi="宋体" w:cs="宋体"/>
          <w:bCs/>
          <w:sz w:val="24"/>
        </w:rPr>
        <w:t xml:space="preserve">                               </w:t>
      </w:r>
    </w:p>
    <w:p>
      <w:pPr>
        <w:spacing w:line="360" w:lineRule="auto"/>
        <w:rPr>
          <w:rFonts w:ascii="宋体" w:hAnsi="宋体" w:cs="宋体"/>
          <w:bCs/>
          <w:sz w:val="24"/>
        </w:rPr>
      </w:pPr>
      <w:r>
        <w:rPr>
          <w:rFonts w:hint="eastAsia" w:hAnsi="宋体" w:cs="宋体"/>
          <w:bCs/>
          <w:sz w:val="24"/>
        </w:rPr>
        <w:t xml:space="preserve"> </w:t>
      </w:r>
      <w:r>
        <w:rPr>
          <w:rFonts w:hint="eastAsia" w:ascii="宋体" w:hAnsi="宋体" w:cs="宋体"/>
          <w:bCs/>
          <w:sz w:val="24"/>
        </w:rPr>
        <w:t>年</w:t>
      </w:r>
      <w:r>
        <w:rPr>
          <w:rFonts w:hint="eastAsia" w:hAnsi="宋体" w:cs="宋体"/>
          <w:bCs/>
          <w:sz w:val="24"/>
        </w:rPr>
        <w:t xml:space="preserve"> </w:t>
      </w:r>
      <w:r>
        <w:rPr>
          <w:rFonts w:hint="eastAsia" w:ascii="宋体" w:hAnsi="宋体" w:cs="宋体"/>
          <w:bCs/>
          <w:sz w:val="24"/>
        </w:rPr>
        <w:t>月</w:t>
      </w:r>
      <w:r>
        <w:rPr>
          <w:rFonts w:hint="eastAsia" w:hAnsi="宋体" w:cs="宋体"/>
          <w:bCs/>
          <w:sz w:val="24"/>
        </w:rPr>
        <w:t xml:space="preserve">  </w:t>
      </w:r>
      <w:r>
        <w:rPr>
          <w:rFonts w:hint="eastAsia" w:ascii="宋体" w:hAnsi="宋体" w:cs="宋体"/>
          <w:bCs/>
          <w:sz w:val="24"/>
        </w:rPr>
        <w:t xml:space="preserve">日                         </w:t>
      </w:r>
      <w:r>
        <w:rPr>
          <w:rFonts w:hint="eastAsia" w:hAnsi="宋体" w:cs="宋体"/>
          <w:bCs/>
          <w:sz w:val="24"/>
        </w:rPr>
        <w:t xml:space="preserve">     </w:t>
      </w:r>
      <w:r>
        <w:rPr>
          <w:rFonts w:hint="eastAsia" w:ascii="宋体" w:hAnsi="宋体" w:cs="宋体"/>
          <w:bCs/>
          <w:sz w:val="24"/>
        </w:rPr>
        <w:t>年</w:t>
      </w:r>
      <w:r>
        <w:rPr>
          <w:rFonts w:hint="eastAsia" w:hAnsi="宋体" w:cs="宋体"/>
          <w:bCs/>
          <w:sz w:val="24"/>
        </w:rPr>
        <w:t xml:space="preserve">  </w:t>
      </w:r>
      <w:r>
        <w:rPr>
          <w:rFonts w:hint="eastAsia" w:ascii="宋体" w:hAnsi="宋体" w:cs="宋体"/>
          <w:bCs/>
          <w:sz w:val="24"/>
        </w:rPr>
        <w:t>月</w:t>
      </w:r>
      <w:r>
        <w:rPr>
          <w:rFonts w:hint="eastAsia" w:hAnsi="宋体" w:cs="宋体"/>
          <w:bCs/>
          <w:sz w:val="24"/>
        </w:rPr>
        <w:t xml:space="preserve">  </w:t>
      </w:r>
      <w:r>
        <w:rPr>
          <w:rFonts w:hint="eastAsia" w:ascii="宋体" w:hAnsi="宋体" w:cs="宋体"/>
          <w:bCs/>
          <w:sz w:val="24"/>
        </w:rPr>
        <w:t>日</w:t>
      </w:r>
    </w:p>
    <w:p>
      <w:pPr>
        <w:spacing w:line="360" w:lineRule="auto"/>
        <w:jc w:val="center"/>
        <w:rPr>
          <w:b/>
          <w:sz w:val="32"/>
          <w:szCs w:val="22"/>
        </w:rPr>
      </w:pPr>
    </w:p>
    <w:p>
      <w:pPr>
        <w:spacing w:line="360" w:lineRule="auto"/>
        <w:jc w:val="center"/>
        <w:rPr>
          <w:b/>
          <w:sz w:val="32"/>
          <w:szCs w:val="22"/>
        </w:rPr>
      </w:pPr>
    </w:p>
    <w:p>
      <w:pPr>
        <w:spacing w:line="360" w:lineRule="auto"/>
        <w:jc w:val="both"/>
        <w:rPr>
          <w:rFonts w:hint="eastAsia" w:eastAsia="宋体"/>
          <w:b/>
          <w:sz w:val="32"/>
          <w:szCs w:val="22"/>
          <w:lang w:val="en-US" w:eastAsia="zh-CN"/>
        </w:rPr>
      </w:pPr>
      <w:r>
        <w:rPr>
          <w:rFonts w:hint="eastAsia"/>
          <w:b/>
          <w:sz w:val="32"/>
          <w:szCs w:val="22"/>
          <w:lang w:val="en-US" w:eastAsia="zh-CN"/>
        </w:rPr>
        <w:t>附件三：</w:t>
      </w:r>
    </w:p>
    <w:p>
      <w:pPr>
        <w:spacing w:line="360" w:lineRule="auto"/>
        <w:jc w:val="center"/>
        <w:rPr>
          <w:b/>
          <w:sz w:val="32"/>
          <w:szCs w:val="22"/>
        </w:rPr>
      </w:pPr>
      <w:r>
        <w:rPr>
          <w:b/>
          <w:sz w:val="32"/>
          <w:szCs w:val="22"/>
        </w:rPr>
        <w:t>银行履约保函格式</w:t>
      </w:r>
    </w:p>
    <w:p>
      <w:pPr>
        <w:snapToGrid w:val="0"/>
        <w:spacing w:line="360" w:lineRule="auto"/>
        <w:ind w:left="495" w:hanging="495"/>
        <w:rPr>
          <w:szCs w:val="21"/>
        </w:rPr>
      </w:pPr>
    </w:p>
    <w:p>
      <w:pPr>
        <w:spacing w:line="360" w:lineRule="auto"/>
        <w:ind w:firstLine="420"/>
        <w:rPr>
          <w:szCs w:val="21"/>
        </w:rPr>
      </w:pPr>
      <w:r>
        <w:rPr>
          <w:szCs w:val="21"/>
        </w:rPr>
        <w:t>致：</w:t>
      </w:r>
      <w:r>
        <w:rPr>
          <w:szCs w:val="21"/>
          <w:u w:val="single"/>
        </w:rPr>
        <w:t xml:space="preserve">  </w:t>
      </w:r>
      <w:r>
        <w:rPr>
          <w:rFonts w:hint="eastAsia" w:ascii="宋体" w:hAnsi="宋体" w:cs="仿宋_GB2312"/>
          <w:color w:val="000000"/>
          <w:sz w:val="24"/>
          <w:u w:val="single"/>
        </w:rPr>
        <w:t>东莞市安之联置业有限公司</w:t>
      </w:r>
      <w:r>
        <w:rPr>
          <w:rFonts w:hint="eastAsia" w:ascii="宋体" w:hAnsi="宋体"/>
          <w:color w:val="000000"/>
          <w:sz w:val="24"/>
          <w:u w:val="single"/>
        </w:rPr>
        <w:t xml:space="preserve">  </w:t>
      </w:r>
      <w:r>
        <w:rPr>
          <w:szCs w:val="21"/>
        </w:rPr>
        <w:t>公司</w:t>
      </w:r>
      <w:r>
        <w:rPr>
          <w:rFonts w:hint="eastAsia"/>
          <w:szCs w:val="21"/>
        </w:rPr>
        <w:t>（以下称“采购人”）</w:t>
      </w:r>
    </w:p>
    <w:p>
      <w:pPr>
        <w:spacing w:line="360" w:lineRule="auto"/>
        <w:jc w:val="left"/>
        <w:rPr>
          <w:szCs w:val="21"/>
        </w:rPr>
      </w:pPr>
      <w:r>
        <w:rPr>
          <w:szCs w:val="21"/>
        </w:rPr>
        <w:t>鉴于____（</w:t>
      </w:r>
      <w:r>
        <w:rPr>
          <w:rFonts w:hint="eastAsia"/>
          <w:szCs w:val="21"/>
        </w:rPr>
        <w:t>成交</w:t>
      </w:r>
      <w:r>
        <w:rPr>
          <w:szCs w:val="21"/>
        </w:rPr>
        <w:t>人的名称和地址）（以下称“</w:t>
      </w:r>
      <w:r>
        <w:rPr>
          <w:rFonts w:hint="eastAsia"/>
          <w:szCs w:val="21"/>
        </w:rPr>
        <w:t>成交</w:t>
      </w:r>
      <w:r>
        <w:rPr>
          <w:szCs w:val="21"/>
        </w:rPr>
        <w:t>人”）已保证按[</w:t>
      </w:r>
      <w:r>
        <w:rPr>
          <w:rFonts w:hint="eastAsia"/>
          <w:szCs w:val="21"/>
        </w:rPr>
        <w:t>安联湾区时代项目总承包工程造价咨询合同</w:t>
      </w:r>
      <w:r>
        <w:rPr>
          <w:szCs w:val="21"/>
        </w:rPr>
        <w:t xml:space="preserve">]（编号 </w:t>
      </w:r>
      <w:r>
        <w:rPr>
          <w:szCs w:val="21"/>
          <w:u w:val="single"/>
        </w:rPr>
        <w:t xml:space="preserve">    ，    年     月     </w:t>
      </w:r>
      <w:r>
        <w:rPr>
          <w:szCs w:val="21"/>
        </w:rPr>
        <w:t>日签署）（以下称“</w:t>
      </w:r>
      <w:r>
        <w:rPr>
          <w:rFonts w:hint="eastAsia"/>
          <w:szCs w:val="21"/>
        </w:rPr>
        <w:t>合同</w:t>
      </w:r>
      <w:r>
        <w:rPr>
          <w:szCs w:val="21"/>
        </w:rPr>
        <w:t>”）实施本项目；</w:t>
      </w:r>
    </w:p>
    <w:p>
      <w:pPr>
        <w:spacing w:line="360" w:lineRule="auto"/>
        <w:ind w:firstLine="420"/>
        <w:rPr>
          <w:szCs w:val="21"/>
        </w:rPr>
      </w:pPr>
      <w:r>
        <w:rPr>
          <w:szCs w:val="21"/>
        </w:rPr>
        <w:t>且鉴于你方在上述合同中要求</w:t>
      </w:r>
      <w:r>
        <w:rPr>
          <w:rFonts w:hint="eastAsia"/>
          <w:szCs w:val="21"/>
        </w:rPr>
        <w:t>成交</w:t>
      </w:r>
      <w:r>
        <w:rPr>
          <w:szCs w:val="21"/>
        </w:rPr>
        <w:t>人通过经认可的银行向你方提交合同规定金额保证金，作为履行本协议责任的担保；</w:t>
      </w:r>
    </w:p>
    <w:p>
      <w:pPr>
        <w:spacing w:line="360" w:lineRule="auto"/>
        <w:ind w:firstLine="420"/>
        <w:rPr>
          <w:szCs w:val="21"/>
        </w:rPr>
      </w:pPr>
      <w:r>
        <w:rPr>
          <w:szCs w:val="21"/>
        </w:rPr>
        <w:t>而且本行同意为</w:t>
      </w:r>
      <w:r>
        <w:rPr>
          <w:rFonts w:hint="eastAsia"/>
          <w:szCs w:val="21"/>
        </w:rPr>
        <w:t>成交</w:t>
      </w:r>
      <w:r>
        <w:rPr>
          <w:szCs w:val="21"/>
        </w:rPr>
        <w:t>人出具银行保函；</w:t>
      </w:r>
    </w:p>
    <w:p>
      <w:pPr>
        <w:spacing w:line="360" w:lineRule="auto"/>
        <w:ind w:firstLine="420"/>
        <w:rPr>
          <w:szCs w:val="21"/>
        </w:rPr>
      </w:pPr>
      <w:r>
        <w:rPr>
          <w:szCs w:val="21"/>
        </w:rPr>
        <w:t>本行作为担保人在此代表</w:t>
      </w:r>
      <w:r>
        <w:rPr>
          <w:rFonts w:hint="eastAsia"/>
          <w:szCs w:val="21"/>
        </w:rPr>
        <w:t>成交人</w:t>
      </w:r>
      <w:r>
        <w:rPr>
          <w:szCs w:val="21"/>
        </w:rPr>
        <w:t>向你方确认承担人民币</w:t>
      </w:r>
      <w:r>
        <w:rPr>
          <w:rFonts w:hint="eastAsia"/>
          <w:szCs w:val="21"/>
        </w:rPr>
        <w:t>5万元</w:t>
      </w:r>
      <w:r>
        <w:rPr>
          <w:szCs w:val="21"/>
        </w:rPr>
        <w:t>的责任，在你方第一次书面提出要求得到上述金额内的任何付款时，本行即无条件支付，不挑剔、不争辩、也不要求你方出具证明或说明背景或理由。</w:t>
      </w:r>
    </w:p>
    <w:p>
      <w:pPr>
        <w:spacing w:line="360" w:lineRule="auto"/>
        <w:ind w:firstLine="420"/>
        <w:rPr>
          <w:szCs w:val="21"/>
        </w:rPr>
      </w:pPr>
      <w:r>
        <w:rPr>
          <w:szCs w:val="21"/>
        </w:rPr>
        <w:t>本行放弃你方应先向</w:t>
      </w:r>
      <w:r>
        <w:rPr>
          <w:rFonts w:hint="eastAsia"/>
          <w:szCs w:val="21"/>
        </w:rPr>
        <w:t>成交</w:t>
      </w:r>
      <w:r>
        <w:rPr>
          <w:szCs w:val="21"/>
        </w:rPr>
        <w:t>人要求赔偿上述金额然后再向本行提出要求的权利。</w:t>
      </w:r>
    </w:p>
    <w:p>
      <w:pPr>
        <w:spacing w:line="360" w:lineRule="auto"/>
        <w:ind w:firstLine="420"/>
        <w:rPr>
          <w:szCs w:val="21"/>
        </w:rPr>
      </w:pPr>
      <w:r>
        <w:rPr>
          <w:szCs w:val="21"/>
        </w:rPr>
        <w:t>本行还同意，对公司和</w:t>
      </w:r>
      <w:r>
        <w:rPr>
          <w:rFonts w:hint="eastAsia"/>
          <w:szCs w:val="21"/>
        </w:rPr>
        <w:t>成交</w:t>
      </w:r>
      <w:r>
        <w:rPr>
          <w:szCs w:val="21"/>
        </w:rPr>
        <w:t>人之间签定的</w:t>
      </w:r>
      <w:r>
        <w:rPr>
          <w:rFonts w:hint="eastAsia"/>
          <w:szCs w:val="21"/>
        </w:rPr>
        <w:t>合同</w:t>
      </w:r>
      <w:r>
        <w:rPr>
          <w:szCs w:val="21"/>
        </w:rPr>
        <w:t>条款的任何变动、补充及其他修改，都不免除我方按本保函应负的责任，我方不要求给我方上述变动、补充和修改的通知书。</w:t>
      </w:r>
    </w:p>
    <w:p>
      <w:pPr>
        <w:spacing w:line="360" w:lineRule="auto"/>
        <w:ind w:firstLine="420"/>
        <w:rPr>
          <w:szCs w:val="21"/>
        </w:rPr>
      </w:pPr>
      <w:r>
        <w:rPr>
          <w:szCs w:val="21"/>
        </w:rPr>
        <w:t>本保函从</w:t>
      </w:r>
      <w:r>
        <w:rPr>
          <w:rFonts w:hint="eastAsia"/>
          <w:szCs w:val="21"/>
        </w:rPr>
        <w:t>合同</w:t>
      </w:r>
      <w:r>
        <w:rPr>
          <w:szCs w:val="21"/>
        </w:rPr>
        <w:t>生效之日起生效，至服务期结束后第365个日历日止，在有效期内本保函不可撤消。</w:t>
      </w:r>
    </w:p>
    <w:p>
      <w:pPr>
        <w:spacing w:line="360" w:lineRule="auto"/>
        <w:ind w:firstLine="420"/>
        <w:rPr>
          <w:szCs w:val="21"/>
        </w:rPr>
      </w:pPr>
      <w:r>
        <w:rPr>
          <w:szCs w:val="21"/>
        </w:rPr>
        <w:t>若因本保函发生纠纷，协商不成时，任何一方可提交</w:t>
      </w:r>
      <w:r>
        <w:rPr>
          <w:rFonts w:hint="eastAsia"/>
          <w:szCs w:val="21"/>
        </w:rPr>
        <w:t>采购</w:t>
      </w:r>
      <w:r>
        <w:rPr>
          <w:szCs w:val="21"/>
        </w:rPr>
        <w:t>人所在地人民法院诉讼。</w:t>
      </w:r>
    </w:p>
    <w:p>
      <w:pPr>
        <w:spacing w:line="360" w:lineRule="auto"/>
        <w:rPr>
          <w:szCs w:val="21"/>
        </w:rPr>
      </w:pPr>
    </w:p>
    <w:p>
      <w:pPr>
        <w:spacing w:line="360" w:lineRule="auto"/>
        <w:ind w:firstLine="420"/>
        <w:rPr>
          <w:szCs w:val="21"/>
        </w:rPr>
      </w:pPr>
    </w:p>
    <w:p>
      <w:pPr>
        <w:spacing w:line="360" w:lineRule="auto"/>
        <w:ind w:firstLine="420"/>
        <w:rPr>
          <w:szCs w:val="21"/>
          <w:u w:val="single"/>
        </w:rPr>
      </w:pPr>
      <w:r>
        <w:rPr>
          <w:szCs w:val="21"/>
        </w:rPr>
        <w:t xml:space="preserve">                                 签字并盖章：</w:t>
      </w:r>
      <w:r>
        <w:rPr>
          <w:szCs w:val="21"/>
          <w:u w:val="single"/>
        </w:rPr>
        <w:t xml:space="preserve">                   </w:t>
      </w:r>
    </w:p>
    <w:p>
      <w:pPr>
        <w:spacing w:line="360" w:lineRule="auto"/>
        <w:ind w:firstLine="420"/>
        <w:rPr>
          <w:szCs w:val="21"/>
          <w:u w:val="single"/>
        </w:rPr>
      </w:pPr>
      <w:r>
        <w:rPr>
          <w:szCs w:val="21"/>
        </w:rPr>
        <w:t xml:space="preserve">                                  银行/金融机构名称：</w:t>
      </w:r>
      <w:r>
        <w:rPr>
          <w:szCs w:val="21"/>
          <w:u w:val="single"/>
        </w:rPr>
        <w:t xml:space="preserve">            </w:t>
      </w:r>
    </w:p>
    <w:p>
      <w:pPr>
        <w:spacing w:line="360" w:lineRule="auto"/>
        <w:ind w:firstLine="420"/>
        <w:rPr>
          <w:szCs w:val="21"/>
          <w:u w:val="single"/>
        </w:rPr>
      </w:pPr>
      <w:r>
        <w:rPr>
          <w:szCs w:val="21"/>
        </w:rPr>
        <w:t xml:space="preserve">                                  地址：</w:t>
      </w:r>
      <w:r>
        <w:rPr>
          <w:szCs w:val="21"/>
          <w:u w:val="single"/>
        </w:rPr>
        <w:t xml:space="preserve">                         </w:t>
      </w:r>
    </w:p>
    <w:p>
      <w:pPr>
        <w:spacing w:line="360" w:lineRule="auto"/>
        <w:ind w:firstLine="3937" w:firstLineChars="1875"/>
        <w:rPr>
          <w:szCs w:val="22"/>
        </w:rPr>
      </w:pPr>
      <w:r>
        <w:rPr>
          <w:szCs w:val="21"/>
        </w:rPr>
        <w:t>日期：</w:t>
      </w:r>
      <w:r>
        <w:rPr>
          <w:rFonts w:eastAsia="仿宋_GB2312"/>
          <w:sz w:val="30"/>
          <w:szCs w:val="30"/>
          <w:u w:val="single"/>
        </w:rPr>
        <w:t xml:space="preserve">                  </w:t>
      </w:r>
    </w:p>
    <w:p>
      <w:pPr>
        <w:spacing w:line="360" w:lineRule="auto"/>
        <w:jc w:val="center"/>
        <w:rPr>
          <w:rFonts w:eastAsia="华文中宋"/>
          <w:b/>
          <w:bCs/>
          <w:sz w:val="32"/>
          <w:szCs w:val="32"/>
        </w:rPr>
      </w:pPr>
    </w:p>
    <w:p>
      <w:pPr>
        <w:spacing w:line="360" w:lineRule="auto"/>
        <w:jc w:val="center"/>
        <w:rPr>
          <w:rFonts w:eastAsia="华文中宋"/>
          <w:b/>
          <w:bCs/>
          <w:sz w:val="32"/>
          <w:szCs w:val="32"/>
        </w:rPr>
      </w:pPr>
    </w:p>
    <w:p>
      <w:pPr>
        <w:spacing w:line="360" w:lineRule="auto"/>
        <w:jc w:val="center"/>
        <w:rPr>
          <w:rFonts w:eastAsia="华文中宋"/>
          <w:b/>
          <w:bCs/>
          <w:sz w:val="32"/>
          <w:szCs w:val="32"/>
        </w:rPr>
      </w:pPr>
    </w:p>
    <w:p>
      <w:pPr>
        <w:spacing w:line="360" w:lineRule="auto"/>
        <w:jc w:val="center"/>
        <w:rPr>
          <w:rFonts w:eastAsia="华文中宋"/>
          <w:b/>
          <w:bCs/>
          <w:sz w:val="32"/>
          <w:szCs w:val="32"/>
        </w:rPr>
      </w:pPr>
    </w:p>
    <w:p>
      <w:pPr>
        <w:pStyle w:val="2"/>
      </w:pPr>
    </w:p>
    <w:p/>
    <w:p>
      <w:pPr>
        <w:pStyle w:val="2"/>
      </w:pPr>
    </w:p>
    <w:p>
      <w:pPr>
        <w:rPr>
          <w:sz w:val="36"/>
          <w:szCs w:val="36"/>
        </w:rPr>
      </w:pPr>
      <w:r>
        <w:rPr>
          <w:sz w:val="36"/>
          <w:szCs w:val="36"/>
        </w:rPr>
        <w:br w:type="page"/>
      </w:r>
    </w:p>
    <w:bookmarkEnd w:id="14"/>
    <w:p>
      <w:pPr>
        <w:jc w:val="center"/>
        <w:rPr>
          <w:sz w:val="44"/>
        </w:rPr>
      </w:pPr>
    </w:p>
    <w:p>
      <w:pPr>
        <w:jc w:val="center"/>
        <w:rPr>
          <w:sz w:val="44"/>
        </w:rPr>
      </w:pPr>
    </w:p>
    <w:p>
      <w:pPr>
        <w:jc w:val="center"/>
        <w:rPr>
          <w:sz w:val="44"/>
        </w:rPr>
      </w:pPr>
    </w:p>
    <w:p>
      <w:pPr>
        <w:jc w:val="center"/>
        <w:rPr>
          <w:sz w:val="44"/>
        </w:rPr>
      </w:pPr>
    </w:p>
    <w:p>
      <w:pPr>
        <w:spacing w:before="156"/>
        <w:jc w:val="center"/>
        <w:outlineLvl w:val="0"/>
        <w:rPr>
          <w:color w:val="auto"/>
          <w:sz w:val="36"/>
          <w:szCs w:val="36"/>
        </w:rPr>
      </w:pPr>
      <w:bookmarkStart w:id="16" w:name="_Toc523927117"/>
      <w:r>
        <w:rPr>
          <w:color w:val="auto"/>
          <w:sz w:val="36"/>
          <w:szCs w:val="36"/>
        </w:rPr>
        <w:t>第</w:t>
      </w:r>
      <w:r>
        <w:rPr>
          <w:rFonts w:hint="eastAsia"/>
          <w:color w:val="auto"/>
          <w:sz w:val="36"/>
          <w:szCs w:val="36"/>
        </w:rPr>
        <w:t>五</w:t>
      </w:r>
      <w:r>
        <w:rPr>
          <w:color w:val="auto"/>
          <w:sz w:val="36"/>
          <w:szCs w:val="36"/>
        </w:rPr>
        <w:t>章</w:t>
      </w:r>
      <w:r>
        <w:rPr>
          <w:rFonts w:hint="eastAsia"/>
          <w:color w:val="auto"/>
          <w:sz w:val="36"/>
          <w:szCs w:val="36"/>
        </w:rPr>
        <w:t xml:space="preserve">  响应</w:t>
      </w:r>
      <w:r>
        <w:rPr>
          <w:color w:val="auto"/>
          <w:sz w:val="36"/>
          <w:szCs w:val="36"/>
        </w:rPr>
        <w:t>文件格式</w:t>
      </w:r>
      <w:bookmarkEnd w:id="16"/>
    </w:p>
    <w:p>
      <w:pPr>
        <w:jc w:val="center"/>
        <w:rPr>
          <w:sz w:val="44"/>
        </w:rPr>
      </w:pPr>
    </w:p>
    <w:p>
      <w:pPr>
        <w:jc w:val="center"/>
        <w:rPr>
          <w:sz w:val="44"/>
        </w:rPr>
      </w:pPr>
    </w:p>
    <w:p>
      <w:pPr>
        <w:jc w:val="center"/>
        <w:rPr>
          <w:sz w:val="44"/>
        </w:rPr>
      </w:pPr>
    </w:p>
    <w:p>
      <w:pPr>
        <w:jc w:val="center"/>
        <w:rPr>
          <w:sz w:val="44"/>
        </w:rPr>
      </w:pPr>
    </w:p>
    <w:p>
      <w:pPr>
        <w:jc w:val="center"/>
        <w:rPr>
          <w:sz w:val="44"/>
        </w:rPr>
      </w:pPr>
    </w:p>
    <w:p>
      <w:pPr>
        <w:jc w:val="center"/>
        <w:rPr>
          <w:sz w:val="44"/>
        </w:rPr>
      </w:pPr>
    </w:p>
    <w:p>
      <w:pPr>
        <w:jc w:val="center"/>
        <w:rPr>
          <w:sz w:val="44"/>
        </w:rPr>
      </w:pPr>
    </w:p>
    <w:p>
      <w:pPr>
        <w:jc w:val="center"/>
        <w:rPr>
          <w:sz w:val="44"/>
        </w:rPr>
      </w:pPr>
    </w:p>
    <w:p>
      <w:pPr>
        <w:jc w:val="center"/>
        <w:rPr>
          <w:sz w:val="44"/>
        </w:rPr>
      </w:pPr>
    </w:p>
    <w:p>
      <w:pPr>
        <w:jc w:val="center"/>
        <w:rPr>
          <w:sz w:val="44"/>
        </w:rPr>
      </w:pPr>
    </w:p>
    <w:p>
      <w:pPr>
        <w:jc w:val="center"/>
        <w:rPr>
          <w:sz w:val="44"/>
        </w:rPr>
      </w:pPr>
    </w:p>
    <w:p>
      <w:pPr>
        <w:jc w:val="center"/>
        <w:rPr>
          <w:sz w:val="44"/>
        </w:rPr>
      </w:pPr>
    </w:p>
    <w:p>
      <w:pPr>
        <w:jc w:val="center"/>
        <w:rPr>
          <w:sz w:val="44"/>
        </w:rPr>
      </w:pPr>
    </w:p>
    <w:p>
      <w:pPr>
        <w:jc w:val="center"/>
        <w:rPr>
          <w:sz w:val="44"/>
        </w:rPr>
      </w:pPr>
      <w:r>
        <w:rPr>
          <w:sz w:val="44"/>
        </w:rPr>
        <w:br w:type="page"/>
      </w:r>
    </w:p>
    <w:p>
      <w:pPr>
        <w:jc w:val="center"/>
        <w:rPr>
          <w:sz w:val="44"/>
        </w:rPr>
      </w:pPr>
    </w:p>
    <w:p>
      <w:pPr>
        <w:jc w:val="center"/>
        <w:rPr>
          <w:sz w:val="44"/>
        </w:rPr>
      </w:pPr>
    </w:p>
    <w:p>
      <w:pPr>
        <w:jc w:val="center"/>
        <w:rPr>
          <w:sz w:val="44"/>
        </w:rPr>
      </w:pPr>
      <w:r>
        <w:rPr>
          <w:rFonts w:hint="eastAsia"/>
          <w:sz w:val="44"/>
        </w:rPr>
        <w:t>安联湾区时代项目总承包工程造价咨询服务</w:t>
      </w:r>
    </w:p>
    <w:p>
      <w:pPr>
        <w:rPr>
          <w:sz w:val="40"/>
          <w:szCs w:val="40"/>
        </w:rPr>
      </w:pPr>
    </w:p>
    <w:p>
      <w:pPr>
        <w:jc w:val="center"/>
        <w:rPr>
          <w:sz w:val="40"/>
          <w:szCs w:val="40"/>
        </w:rPr>
      </w:pPr>
    </w:p>
    <w:p>
      <w:pPr>
        <w:jc w:val="center"/>
        <w:rPr>
          <w:sz w:val="40"/>
          <w:szCs w:val="40"/>
        </w:rPr>
      </w:pPr>
    </w:p>
    <w:p>
      <w:pPr>
        <w:jc w:val="center"/>
        <w:rPr>
          <w:sz w:val="40"/>
          <w:szCs w:val="40"/>
        </w:rPr>
      </w:pPr>
    </w:p>
    <w:p>
      <w:pPr>
        <w:jc w:val="center"/>
        <w:rPr>
          <w:sz w:val="40"/>
          <w:szCs w:val="40"/>
        </w:rPr>
      </w:pPr>
    </w:p>
    <w:p>
      <w:pPr>
        <w:jc w:val="center"/>
        <w:rPr>
          <w:sz w:val="40"/>
          <w:szCs w:val="40"/>
        </w:rPr>
      </w:pPr>
    </w:p>
    <w:p>
      <w:pPr>
        <w:jc w:val="center"/>
        <w:rPr>
          <w:sz w:val="40"/>
          <w:szCs w:val="40"/>
        </w:rPr>
      </w:pPr>
    </w:p>
    <w:p>
      <w:pPr>
        <w:jc w:val="center"/>
        <w:rPr>
          <w:sz w:val="50"/>
          <w:szCs w:val="50"/>
        </w:rPr>
      </w:pPr>
      <w:r>
        <w:rPr>
          <w:rFonts w:hint="eastAsia"/>
          <w:sz w:val="50"/>
          <w:szCs w:val="50"/>
        </w:rPr>
        <w:t>响应</w:t>
      </w:r>
      <w:r>
        <w:rPr>
          <w:sz w:val="50"/>
          <w:szCs w:val="50"/>
        </w:rPr>
        <w:t>文件</w:t>
      </w:r>
    </w:p>
    <w:p>
      <w:pPr>
        <w:jc w:val="cente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jc w:val="center"/>
        <w:rPr>
          <w:sz w:val="28"/>
          <w:szCs w:val="28"/>
        </w:rPr>
      </w:pPr>
      <w:r>
        <w:rPr>
          <w:rFonts w:hint="eastAsia"/>
          <w:sz w:val="28"/>
          <w:szCs w:val="28"/>
        </w:rPr>
        <w:t>响应人</w:t>
      </w:r>
      <w:r>
        <w:rPr>
          <w:sz w:val="28"/>
          <w:szCs w:val="28"/>
        </w:rPr>
        <w:t>：</w:t>
      </w:r>
      <w:r>
        <w:rPr>
          <w:rFonts w:hint="eastAsia"/>
          <w:sz w:val="28"/>
          <w:szCs w:val="28"/>
          <w:u w:val="single"/>
        </w:rPr>
        <w:t xml:space="preserve">         </w:t>
      </w:r>
      <w:r>
        <w:rPr>
          <w:rFonts w:hint="eastAsia"/>
          <w:sz w:val="28"/>
          <w:szCs w:val="28"/>
        </w:rPr>
        <w:t xml:space="preserve"> </w:t>
      </w:r>
      <w:r>
        <w:rPr>
          <w:sz w:val="28"/>
          <w:szCs w:val="28"/>
        </w:rPr>
        <w:t>(盖单位章)</w:t>
      </w:r>
    </w:p>
    <w:p>
      <w:pPr>
        <w:rPr>
          <w:sz w:val="28"/>
          <w:szCs w:val="28"/>
        </w:rPr>
      </w:pPr>
    </w:p>
    <w:p>
      <w:pPr>
        <w:jc w:val="center"/>
        <w:rPr>
          <w:sz w:val="28"/>
          <w:szCs w:val="28"/>
        </w:rPr>
      </w:pPr>
      <w:r>
        <w:rPr>
          <w:sz w:val="28"/>
          <w:szCs w:val="28"/>
        </w:rPr>
        <w:t>年</w:t>
      </w:r>
      <w:r>
        <w:rPr>
          <w:rFonts w:hint="eastAsia"/>
          <w:sz w:val="28"/>
          <w:szCs w:val="28"/>
        </w:rPr>
        <w:t xml:space="preserve">     </w:t>
      </w:r>
      <w:r>
        <w:rPr>
          <w:sz w:val="28"/>
          <w:szCs w:val="28"/>
        </w:rPr>
        <w:t>月</w:t>
      </w:r>
      <w:r>
        <w:rPr>
          <w:rFonts w:hint="eastAsia"/>
          <w:sz w:val="28"/>
          <w:szCs w:val="28"/>
        </w:rPr>
        <w:t xml:space="preserve">    </w:t>
      </w:r>
      <w:r>
        <w:rPr>
          <w:sz w:val="28"/>
          <w:szCs w:val="28"/>
        </w:rPr>
        <w:t>日</w:t>
      </w:r>
    </w:p>
    <w:p>
      <w:pPr>
        <w:rPr>
          <w:sz w:val="28"/>
          <w:szCs w:val="28"/>
        </w:rPr>
      </w:pPr>
    </w:p>
    <w:p>
      <w:pPr>
        <w:tabs>
          <w:tab w:val="left" w:pos="3060"/>
        </w:tabs>
        <w:topLinePunct/>
        <w:jc w:val="center"/>
        <w:rPr>
          <w:b/>
          <w:szCs w:val="21"/>
        </w:rPr>
      </w:pPr>
      <w:r>
        <w:rPr>
          <w:sz w:val="20"/>
          <w:szCs w:val="20"/>
        </w:rPr>
        <w:br w:type="page"/>
      </w:r>
    </w:p>
    <w:p>
      <w:pPr>
        <w:jc w:val="center"/>
        <w:rPr>
          <w:sz w:val="28"/>
          <w:szCs w:val="28"/>
        </w:rPr>
      </w:pPr>
      <w:r>
        <w:rPr>
          <w:sz w:val="28"/>
          <w:szCs w:val="28"/>
        </w:rPr>
        <w:t>目录</w:t>
      </w:r>
    </w:p>
    <w:p>
      <w:pPr>
        <w:rPr>
          <w:sz w:val="20"/>
          <w:szCs w:val="20"/>
        </w:rPr>
      </w:pPr>
    </w:p>
    <w:p>
      <w:pPr>
        <w:rPr>
          <w:sz w:val="20"/>
          <w:szCs w:val="20"/>
        </w:rPr>
      </w:pPr>
    </w:p>
    <w:p>
      <w:pPr>
        <w:rPr>
          <w:sz w:val="20"/>
          <w:szCs w:val="20"/>
        </w:rPr>
      </w:pPr>
    </w:p>
    <w:p>
      <w:pPr>
        <w:ind w:left="1619" w:leftChars="771"/>
        <w:rPr>
          <w:sz w:val="24"/>
        </w:rPr>
      </w:pPr>
      <w:r>
        <w:rPr>
          <w:sz w:val="24"/>
        </w:rPr>
        <w:t>一、</w:t>
      </w:r>
      <w:r>
        <w:rPr>
          <w:rFonts w:hint="eastAsia"/>
          <w:sz w:val="24"/>
        </w:rPr>
        <w:t>响应函</w:t>
      </w:r>
    </w:p>
    <w:p>
      <w:pPr>
        <w:ind w:left="1619" w:leftChars="771"/>
        <w:rPr>
          <w:sz w:val="24"/>
        </w:rPr>
      </w:pPr>
      <w:r>
        <w:rPr>
          <w:sz w:val="24"/>
        </w:rPr>
        <w:t>二、法定代表人身份证明及授权委托书</w:t>
      </w:r>
    </w:p>
    <w:p>
      <w:pPr>
        <w:ind w:left="1619" w:leftChars="771"/>
        <w:rPr>
          <w:sz w:val="24"/>
        </w:rPr>
      </w:pPr>
      <w:r>
        <w:rPr>
          <w:rFonts w:hint="eastAsia"/>
          <w:sz w:val="24"/>
        </w:rPr>
        <w:t>三~八</w:t>
      </w:r>
      <w:r>
        <w:rPr>
          <w:sz w:val="24"/>
        </w:rPr>
        <w:t>、资格审查资料</w:t>
      </w:r>
    </w:p>
    <w:p>
      <w:pPr>
        <w:ind w:left="1619" w:leftChars="771"/>
        <w:rPr>
          <w:sz w:val="24"/>
        </w:rPr>
      </w:pPr>
      <w:r>
        <w:rPr>
          <w:rFonts w:hint="eastAsia"/>
          <w:sz w:val="24"/>
        </w:rPr>
        <w:t>九、</w:t>
      </w:r>
      <w:r>
        <w:rPr>
          <w:sz w:val="24"/>
        </w:rPr>
        <w:t>造价咨询服务方案</w:t>
      </w: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p>
      <w:pPr>
        <w:jc w:val="center"/>
        <w:rPr>
          <w:sz w:val="27"/>
          <w:szCs w:val="27"/>
        </w:rPr>
        <w:sectPr>
          <w:footnotePr>
            <w:numFmt w:val="decimalEnclosedCircleChinese"/>
            <w:numRestart w:val="eachPage"/>
          </w:footnotePr>
          <w:pgSz w:w="11906" w:h="16838"/>
          <w:pgMar w:top="1418" w:right="1304" w:bottom="1418" w:left="1588" w:header="851" w:footer="851" w:gutter="0"/>
          <w:cols w:space="720" w:num="1"/>
          <w:docGrid w:linePitch="312" w:charSpace="0"/>
        </w:sectPr>
      </w:pPr>
    </w:p>
    <w:p>
      <w:pPr>
        <w:ind w:firstLine="321" w:firstLineChars="100"/>
        <w:jc w:val="center"/>
        <w:rPr>
          <w:b/>
          <w:bCs/>
          <w:sz w:val="32"/>
          <w:szCs w:val="32"/>
        </w:rPr>
      </w:pPr>
      <w:r>
        <w:rPr>
          <w:rFonts w:hint="eastAsia"/>
          <w:b/>
          <w:sz w:val="32"/>
          <w:szCs w:val="32"/>
        </w:rPr>
        <w:t>一、</w:t>
      </w:r>
      <w:r>
        <w:rPr>
          <w:rFonts w:hint="eastAsia"/>
          <w:b/>
          <w:sz w:val="32"/>
          <w:szCs w:val="32"/>
        </w:rPr>
        <w:t>响应函</w:t>
      </w:r>
    </w:p>
    <w:p>
      <w:pPr>
        <w:spacing w:line="360" w:lineRule="auto"/>
        <w:ind w:firstLine="221" w:firstLineChars="100"/>
        <w:jc w:val="center"/>
        <w:rPr>
          <w:b/>
          <w:bCs/>
          <w:sz w:val="22"/>
          <w:szCs w:val="22"/>
        </w:rPr>
      </w:pPr>
    </w:p>
    <w:p>
      <w:pPr>
        <w:spacing w:line="360" w:lineRule="auto"/>
        <w:rPr>
          <w:rFonts w:ascii="宋体" w:hAnsi="宋体" w:cs="宋体"/>
          <w:color w:val="000000"/>
          <w:kern w:val="0"/>
          <w:sz w:val="24"/>
        </w:rPr>
      </w:pPr>
      <w:r>
        <w:rPr>
          <w:rFonts w:hint="eastAsia"/>
          <w:sz w:val="24"/>
          <w:u w:val="single"/>
        </w:rPr>
        <w:t>东莞市安之联置业有限公司</w:t>
      </w:r>
      <w:r>
        <w:rPr>
          <w:rFonts w:hint="eastAsia" w:ascii="宋体" w:hAnsi="宋体" w:cs="宋体"/>
          <w:color w:val="000000"/>
          <w:kern w:val="0"/>
          <w:sz w:val="24"/>
        </w:rPr>
        <w:t>：</w:t>
      </w:r>
    </w:p>
    <w:p>
      <w:pPr>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根据你方提供的</w:t>
      </w:r>
      <w:r>
        <w:rPr>
          <w:rFonts w:hint="eastAsia" w:ascii="宋体" w:hAnsi="宋体" w:cs="宋体"/>
          <w:color w:val="000000"/>
          <w:kern w:val="0"/>
          <w:sz w:val="24"/>
          <w:u w:val="single"/>
        </w:rPr>
        <w:t xml:space="preserve">   {项目名称}   </w:t>
      </w:r>
      <w:r>
        <w:rPr>
          <w:rFonts w:hint="eastAsia" w:ascii="宋体" w:hAnsi="宋体" w:cs="宋体"/>
          <w:color w:val="000000"/>
          <w:kern w:val="0"/>
          <w:sz w:val="24"/>
        </w:rPr>
        <w:t>采购文件，经研究上述采购文件的响应人须知、合同条款、图纸和现行建设技术标准及其他有关文件后，我方愿以</w:t>
      </w:r>
      <w:r>
        <w:rPr>
          <w:rFonts w:ascii="宋体" w:hAnsi="宋体" w:cs="宋体"/>
          <w:color w:val="000000"/>
          <w:kern w:val="0"/>
          <w:sz w:val="24"/>
        </w:rPr>
        <w:t>¥</w:t>
      </w:r>
      <w:r>
        <w:rPr>
          <w:rFonts w:hint="eastAsia" w:ascii="宋体" w:hAnsi="宋体" w:cs="宋体"/>
          <w:color w:val="000000"/>
          <w:kern w:val="0"/>
          <w:sz w:val="24"/>
          <w:u w:val="single"/>
        </w:rPr>
        <w:t xml:space="preserve">　     </w:t>
      </w:r>
      <w:r>
        <w:rPr>
          <w:rFonts w:hint="eastAsia" w:ascii="宋体" w:hAnsi="宋体" w:cs="宋体"/>
          <w:color w:val="000000"/>
          <w:kern w:val="0"/>
          <w:sz w:val="24"/>
        </w:rPr>
        <w:t>（人民币大写</w:t>
      </w:r>
      <w:r>
        <w:rPr>
          <w:rFonts w:hint="eastAsia" w:ascii="宋体" w:hAnsi="宋体" w:cs="宋体"/>
          <w:color w:val="000000"/>
          <w:kern w:val="0"/>
          <w:sz w:val="24"/>
          <w:u w:val="single"/>
        </w:rPr>
        <w:t>　　　</w:t>
      </w:r>
      <w:r>
        <w:rPr>
          <w:rFonts w:hint="eastAsia" w:ascii="宋体" w:hAnsi="宋体" w:cs="宋体"/>
          <w:color w:val="000000"/>
          <w:kern w:val="0"/>
          <w:sz w:val="24"/>
        </w:rPr>
        <w:t>元；增值税税率</w:t>
      </w:r>
      <w:r>
        <w:rPr>
          <w:rFonts w:hint="eastAsia" w:ascii="宋体" w:hAnsi="宋体" w:cs="宋体"/>
          <w:color w:val="000000"/>
          <w:kern w:val="0"/>
          <w:sz w:val="24"/>
          <w:u w:val="single"/>
        </w:rPr>
        <w:t xml:space="preserve">     </w:t>
      </w:r>
      <w:r>
        <w:rPr>
          <w:rFonts w:hint="eastAsia" w:ascii="宋体" w:hAnsi="宋体" w:cs="宋体"/>
          <w:color w:val="000000"/>
          <w:kern w:val="0"/>
          <w:sz w:val="24"/>
        </w:rPr>
        <w:t>%，其中不含税金额</w:t>
      </w:r>
      <w:r>
        <w:rPr>
          <w:rFonts w:hint="eastAsia" w:ascii="宋体" w:hAnsi="宋体" w:cs="宋体"/>
          <w:color w:val="000000"/>
          <w:kern w:val="0"/>
          <w:sz w:val="24"/>
          <w:u w:val="single"/>
        </w:rPr>
        <w:t xml:space="preserve">     </w:t>
      </w:r>
      <w:r>
        <w:rPr>
          <w:rFonts w:hint="eastAsia" w:ascii="宋体" w:hAnsi="宋体" w:cs="宋体"/>
          <w:color w:val="000000"/>
          <w:kern w:val="0"/>
          <w:sz w:val="24"/>
        </w:rPr>
        <w:t>元，增值税税额</w:t>
      </w:r>
      <w:r>
        <w:rPr>
          <w:rFonts w:hint="eastAsia" w:ascii="宋体" w:hAnsi="宋体" w:cs="宋体"/>
          <w:color w:val="000000"/>
          <w:kern w:val="0"/>
          <w:sz w:val="24"/>
          <w:u w:val="single"/>
        </w:rPr>
        <w:t xml:space="preserve">     </w:t>
      </w:r>
      <w:r>
        <w:rPr>
          <w:rFonts w:hint="eastAsia" w:ascii="宋体" w:hAnsi="宋体" w:cs="宋体"/>
          <w:color w:val="000000"/>
          <w:kern w:val="0"/>
          <w:sz w:val="24"/>
        </w:rPr>
        <w:t>元）的总报价，并承诺按本采购文件、图纸、合同条款的要求，承担上述工作。</w:t>
      </w:r>
    </w:p>
    <w:p>
      <w:pPr>
        <w:spacing w:line="360" w:lineRule="auto"/>
        <w:rPr>
          <w:rFonts w:ascii="宋体" w:hAnsi="宋体"/>
          <w:szCs w:val="21"/>
        </w:rPr>
      </w:pPr>
    </w:p>
    <w:p>
      <w:pPr>
        <w:spacing w:line="360" w:lineRule="auto"/>
        <w:rPr>
          <w:rFonts w:ascii="宋体" w:hAnsi="宋体" w:cs="宋体"/>
          <w:color w:val="000000"/>
          <w:kern w:val="0"/>
          <w:sz w:val="24"/>
        </w:rPr>
      </w:pPr>
    </w:p>
    <w:p>
      <w:pPr>
        <w:spacing w:line="360" w:lineRule="auto"/>
        <w:rPr>
          <w:rFonts w:ascii="宋体" w:hAnsi="宋体" w:cs="宋体"/>
          <w:color w:val="000000"/>
          <w:kern w:val="0"/>
          <w:sz w:val="24"/>
        </w:rPr>
      </w:pPr>
    </w:p>
    <w:p>
      <w:pPr>
        <w:spacing w:line="360" w:lineRule="auto"/>
        <w:ind w:firstLine="720" w:firstLineChars="300"/>
        <w:rPr>
          <w:rFonts w:ascii="宋体" w:hAnsi="宋体" w:cs="宋体"/>
          <w:color w:val="000000"/>
          <w:kern w:val="0"/>
          <w:sz w:val="24"/>
        </w:rPr>
      </w:pPr>
      <w:r>
        <w:rPr>
          <w:rFonts w:hint="eastAsia" w:ascii="宋体" w:hAnsi="宋体" w:cs="宋体"/>
          <w:color w:val="000000"/>
          <w:kern w:val="0"/>
          <w:sz w:val="24"/>
        </w:rPr>
        <w:t>响应人：</w:t>
      </w:r>
      <w:r>
        <w:rPr>
          <w:rFonts w:hint="eastAsia" w:ascii="宋体" w:hAnsi="宋体" w:cs="宋体"/>
          <w:color w:val="000000"/>
          <w:kern w:val="0"/>
          <w:sz w:val="24"/>
          <w:u w:val="single"/>
        </w:rPr>
        <w:t xml:space="preserve">                 （盖单位公章）</w:t>
      </w:r>
    </w:p>
    <w:p>
      <w:pPr>
        <w:spacing w:line="360" w:lineRule="auto"/>
        <w:ind w:firstLine="720" w:firstLineChars="300"/>
        <w:rPr>
          <w:rFonts w:ascii="宋体" w:hAnsi="宋体" w:cs="宋体"/>
          <w:color w:val="000000"/>
          <w:kern w:val="0"/>
          <w:sz w:val="24"/>
        </w:rPr>
      </w:pPr>
      <w:r>
        <w:rPr>
          <w:rFonts w:hint="eastAsia" w:ascii="宋体" w:hAnsi="宋体" w:cs="宋体"/>
          <w:color w:val="000000"/>
          <w:kern w:val="0"/>
          <w:sz w:val="24"/>
        </w:rPr>
        <w:t>法定代表人或委托代理人：</w:t>
      </w:r>
      <w:r>
        <w:rPr>
          <w:rFonts w:hint="eastAsia" w:ascii="宋体" w:hAnsi="宋体" w:cs="宋体"/>
          <w:color w:val="000000"/>
          <w:kern w:val="0"/>
          <w:sz w:val="24"/>
          <w:u w:val="single"/>
        </w:rPr>
        <w:t xml:space="preserve"> （签字或盖章）</w:t>
      </w:r>
    </w:p>
    <w:p>
      <w:pPr>
        <w:spacing w:line="360" w:lineRule="auto"/>
        <w:ind w:firstLine="720" w:firstLineChars="300"/>
        <w:rPr>
          <w:rFonts w:ascii="宋体" w:hAnsi="宋体" w:cs="宋体"/>
          <w:color w:val="000000"/>
          <w:kern w:val="0"/>
          <w:sz w:val="24"/>
        </w:rPr>
      </w:pPr>
      <w:r>
        <w:rPr>
          <w:rFonts w:hint="eastAsia" w:ascii="宋体" w:hAnsi="宋体" w:cs="宋体"/>
          <w:color w:val="000000"/>
          <w:kern w:val="0"/>
          <w:sz w:val="24"/>
        </w:rPr>
        <w:t>地址：</w:t>
      </w:r>
      <w:r>
        <w:rPr>
          <w:rFonts w:hint="eastAsia" w:ascii="宋体" w:hAnsi="宋体" w:cs="宋体"/>
          <w:color w:val="000000"/>
          <w:kern w:val="0"/>
          <w:sz w:val="24"/>
          <w:u w:val="single"/>
        </w:rPr>
        <w:t xml:space="preserve">                                 </w:t>
      </w:r>
    </w:p>
    <w:p>
      <w:pPr>
        <w:spacing w:line="360" w:lineRule="auto"/>
        <w:ind w:firstLine="720" w:firstLineChars="300"/>
        <w:rPr>
          <w:rFonts w:ascii="宋体" w:hAnsi="宋体" w:cs="宋体"/>
          <w:color w:val="000000"/>
          <w:kern w:val="0"/>
          <w:sz w:val="24"/>
        </w:rPr>
      </w:pPr>
      <w:r>
        <w:rPr>
          <w:rFonts w:hint="eastAsia" w:ascii="宋体" w:hAnsi="宋体" w:cs="宋体"/>
          <w:color w:val="000000"/>
          <w:kern w:val="0"/>
          <w:sz w:val="24"/>
        </w:rPr>
        <w:t>网址：</w:t>
      </w:r>
      <w:r>
        <w:rPr>
          <w:rFonts w:hint="eastAsia" w:ascii="宋体" w:hAnsi="宋体" w:cs="宋体"/>
          <w:color w:val="000000"/>
          <w:kern w:val="0"/>
          <w:sz w:val="24"/>
          <w:u w:val="single"/>
        </w:rPr>
        <w:t xml:space="preserve">                                 </w:t>
      </w:r>
    </w:p>
    <w:p>
      <w:pPr>
        <w:spacing w:line="360" w:lineRule="auto"/>
        <w:ind w:firstLine="720" w:firstLineChars="300"/>
        <w:rPr>
          <w:rFonts w:ascii="宋体" w:hAnsi="宋体" w:cs="宋体"/>
          <w:color w:val="000000"/>
          <w:kern w:val="0"/>
          <w:sz w:val="24"/>
        </w:rPr>
      </w:pPr>
      <w:r>
        <w:rPr>
          <w:rFonts w:hint="eastAsia" w:ascii="宋体" w:hAnsi="宋体" w:cs="宋体"/>
          <w:color w:val="000000"/>
          <w:kern w:val="0"/>
          <w:sz w:val="24"/>
        </w:rPr>
        <w:t>电话：</w:t>
      </w:r>
      <w:r>
        <w:rPr>
          <w:rFonts w:hint="eastAsia" w:ascii="宋体" w:hAnsi="宋体" w:cs="宋体"/>
          <w:color w:val="000000"/>
          <w:kern w:val="0"/>
          <w:sz w:val="24"/>
          <w:u w:val="single"/>
        </w:rPr>
        <w:t xml:space="preserve">                                 </w:t>
      </w:r>
    </w:p>
    <w:p>
      <w:pPr>
        <w:spacing w:line="360" w:lineRule="auto"/>
        <w:ind w:firstLine="720" w:firstLineChars="300"/>
        <w:rPr>
          <w:rFonts w:ascii="宋体" w:hAnsi="宋体" w:cs="宋体"/>
          <w:color w:val="000000"/>
          <w:kern w:val="0"/>
          <w:sz w:val="24"/>
        </w:rPr>
      </w:pPr>
      <w:r>
        <w:rPr>
          <w:rFonts w:hint="eastAsia" w:ascii="宋体" w:hAnsi="宋体" w:cs="宋体"/>
          <w:color w:val="000000"/>
          <w:kern w:val="0"/>
          <w:sz w:val="24"/>
        </w:rPr>
        <w:t>传真：</w:t>
      </w:r>
      <w:r>
        <w:rPr>
          <w:rFonts w:hint="eastAsia" w:ascii="宋体" w:hAnsi="宋体" w:cs="宋体"/>
          <w:color w:val="000000"/>
          <w:kern w:val="0"/>
          <w:sz w:val="24"/>
          <w:u w:val="single"/>
        </w:rPr>
        <w:t xml:space="preserve">                                 </w:t>
      </w:r>
    </w:p>
    <w:p>
      <w:pPr>
        <w:spacing w:line="360" w:lineRule="auto"/>
        <w:ind w:firstLine="720" w:firstLineChars="300"/>
        <w:rPr>
          <w:rFonts w:ascii="宋体" w:hAnsi="宋体" w:cs="宋体"/>
          <w:color w:val="000000"/>
          <w:kern w:val="0"/>
          <w:sz w:val="24"/>
        </w:rPr>
      </w:pPr>
      <w:r>
        <w:rPr>
          <w:rFonts w:hint="eastAsia" w:ascii="宋体" w:hAnsi="宋体" w:cs="宋体"/>
          <w:color w:val="000000"/>
          <w:kern w:val="0"/>
          <w:sz w:val="24"/>
        </w:rPr>
        <w:t>邮政编码：</w:t>
      </w:r>
      <w:r>
        <w:rPr>
          <w:rFonts w:hint="eastAsia" w:ascii="宋体" w:hAnsi="宋体" w:cs="宋体"/>
          <w:color w:val="000000"/>
          <w:kern w:val="0"/>
          <w:sz w:val="24"/>
          <w:u w:val="single"/>
        </w:rPr>
        <w:t xml:space="preserve">                             </w:t>
      </w:r>
    </w:p>
    <w:p>
      <w:pPr>
        <w:rPr>
          <w:b/>
          <w:sz w:val="32"/>
          <w:szCs w:val="32"/>
        </w:rPr>
      </w:pPr>
    </w:p>
    <w:p>
      <w:pPr>
        <w:rPr>
          <w:b/>
          <w:sz w:val="32"/>
          <w:szCs w:val="32"/>
        </w:rPr>
      </w:pPr>
      <w:r>
        <w:rPr>
          <w:b/>
          <w:sz w:val="32"/>
          <w:szCs w:val="32"/>
        </w:rPr>
        <w:br w:type="page"/>
      </w:r>
    </w:p>
    <w:p>
      <w:pPr>
        <w:spacing w:line="360" w:lineRule="auto"/>
        <w:jc w:val="center"/>
        <w:rPr>
          <w:b/>
          <w:sz w:val="32"/>
          <w:szCs w:val="32"/>
        </w:rPr>
      </w:pPr>
      <w:r>
        <w:rPr>
          <w:rFonts w:hint="eastAsia"/>
          <w:b/>
          <w:sz w:val="32"/>
          <w:szCs w:val="32"/>
        </w:rPr>
        <w:t>二、响应函附录</w:t>
      </w:r>
    </w:p>
    <w:p>
      <w:pPr>
        <w:spacing w:line="360" w:lineRule="auto"/>
        <w:jc w:val="center"/>
        <w:rPr>
          <w:b/>
          <w:sz w:val="32"/>
          <w:szCs w:val="32"/>
        </w:rPr>
      </w:pPr>
      <w:r>
        <w:rPr>
          <w:rFonts w:hint="eastAsia"/>
          <w:b/>
          <w:sz w:val="32"/>
          <w:szCs w:val="32"/>
        </w:rPr>
        <w:t>报价明细表</w:t>
      </w:r>
    </w:p>
    <w:p>
      <w:pPr>
        <w:spacing w:line="360" w:lineRule="auto"/>
        <w:jc w:val="center"/>
        <w:rPr>
          <w:b/>
          <w:sz w:val="32"/>
          <w:szCs w:val="32"/>
        </w:rPr>
      </w:pPr>
    </w:p>
    <w:p>
      <w:pPr>
        <w:widowControl/>
        <w:spacing w:line="360" w:lineRule="auto"/>
        <w:jc w:val="left"/>
        <w:rPr>
          <w:rFonts w:ascii="宋体" w:hAnsi="宋体" w:cs="宋体"/>
          <w:sz w:val="24"/>
          <w:u w:val="single"/>
        </w:rPr>
      </w:pPr>
      <w:r>
        <w:rPr>
          <w:rFonts w:hint="eastAsia" w:ascii="宋体" w:hAnsi="宋体" w:cs="宋体"/>
          <w:sz w:val="24"/>
          <w:lang w:val="en-US" w:eastAsia="zh-CN"/>
        </w:rPr>
        <w:t>响应人</w:t>
      </w:r>
      <w:r>
        <w:rPr>
          <w:rFonts w:hint="eastAsia" w:ascii="宋体" w:hAnsi="宋体" w:cs="宋体"/>
          <w:sz w:val="24"/>
        </w:rPr>
        <w:t>名称：</w:t>
      </w:r>
      <w:r>
        <w:rPr>
          <w:rFonts w:hint="eastAsia" w:ascii="宋体" w:hAnsi="宋体" w:cs="宋体"/>
          <w:sz w:val="24"/>
          <w:u w:val="single"/>
        </w:rPr>
        <w:t xml:space="preserve">                     </w:t>
      </w:r>
    </w:p>
    <w:tbl>
      <w:tblPr>
        <w:tblStyle w:val="61"/>
        <w:tblpPr w:leftFromText="180" w:rightFromText="180" w:vertAnchor="text" w:horzAnchor="page" w:tblpX="1661" w:tblpY="84"/>
        <w:tblOverlap w:val="never"/>
        <w:tblW w:w="91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862"/>
        <w:gridCol w:w="1757"/>
        <w:gridCol w:w="1757"/>
        <w:gridCol w:w="1328"/>
        <w:gridCol w:w="1702"/>
        <w:tblGridChange w:id="0">
          <w:tblGrid>
            <w:gridCol w:w="735"/>
            <w:gridCol w:w="1862"/>
            <w:gridCol w:w="1757"/>
            <w:gridCol w:w="1757"/>
            <w:gridCol w:w="1328"/>
            <w:gridCol w:w="1702"/>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trPr>
        <w:tc>
          <w:tcPr>
            <w:tcW w:w="735" w:type="dxa"/>
            <w:vAlign w:val="center"/>
          </w:tcPr>
          <w:p>
            <w:pPr>
              <w:pStyle w:val="3"/>
              <w:spacing w:before="0" w:after="0" w:line="240" w:lineRule="auto"/>
              <w:jc w:val="center"/>
              <w:rPr>
                <w:rFonts w:ascii="宋体" w:hAnsi="宋体"/>
                <w:sz w:val="24"/>
                <w:szCs w:val="24"/>
              </w:rPr>
            </w:pPr>
            <w:r>
              <w:rPr>
                <w:rFonts w:hint="eastAsia" w:ascii="宋体" w:hAnsi="宋体"/>
                <w:sz w:val="24"/>
                <w:szCs w:val="24"/>
              </w:rPr>
              <w:t>序号</w:t>
            </w:r>
          </w:p>
        </w:tc>
        <w:tc>
          <w:tcPr>
            <w:tcW w:w="1862" w:type="dxa"/>
            <w:vAlign w:val="center"/>
          </w:tcPr>
          <w:p>
            <w:pPr>
              <w:pStyle w:val="24"/>
              <w:jc w:val="center"/>
              <w:rPr>
                <w:sz w:val="24"/>
              </w:rPr>
            </w:pPr>
            <w:r>
              <w:rPr>
                <w:rFonts w:hint="eastAsia" w:cs="宋体"/>
                <w:b/>
                <w:sz w:val="24"/>
              </w:rPr>
              <w:t>项目名称</w:t>
            </w:r>
          </w:p>
        </w:tc>
        <w:tc>
          <w:tcPr>
            <w:tcW w:w="1757" w:type="dxa"/>
            <w:vAlign w:val="center"/>
          </w:tcPr>
          <w:p>
            <w:pPr>
              <w:pStyle w:val="24"/>
              <w:ind w:left="0" w:leftChars="0"/>
              <w:jc w:val="center"/>
              <w:rPr>
                <w:rFonts w:hint="default" w:eastAsia="宋体" w:cs="宋体"/>
                <w:b/>
                <w:color w:val="auto"/>
                <w:sz w:val="24"/>
                <w:lang w:val="en-US" w:eastAsia="zh-CN"/>
              </w:rPr>
            </w:pPr>
            <w:r>
              <w:rPr>
                <w:rFonts w:hint="eastAsia" w:cs="宋体"/>
                <w:b/>
                <w:color w:val="auto"/>
                <w:sz w:val="24"/>
                <w:lang w:val="en-US" w:eastAsia="zh-CN"/>
              </w:rPr>
              <w:t>采购</w:t>
            </w:r>
            <w:r>
              <w:rPr>
                <w:rFonts w:hint="eastAsia" w:cs="宋体"/>
                <w:b/>
                <w:color w:val="auto"/>
                <w:sz w:val="24"/>
                <w:lang w:val="en-US" w:eastAsia="zh-CN"/>
              </w:rPr>
              <w:t>控制价（元）</w:t>
            </w:r>
          </w:p>
        </w:tc>
        <w:tc>
          <w:tcPr>
            <w:tcW w:w="1757" w:type="dxa"/>
            <w:vAlign w:val="center"/>
          </w:tcPr>
          <w:p>
            <w:pPr>
              <w:pStyle w:val="24"/>
              <w:jc w:val="center"/>
              <w:rPr>
                <w:sz w:val="24"/>
              </w:rPr>
            </w:pPr>
            <w:r>
              <w:rPr>
                <w:rFonts w:hint="eastAsia" w:cs="宋体"/>
                <w:b/>
                <w:sz w:val="24"/>
              </w:rPr>
              <w:t>不含税金额（元）</w:t>
            </w:r>
          </w:p>
        </w:tc>
        <w:tc>
          <w:tcPr>
            <w:tcW w:w="1328" w:type="dxa"/>
            <w:vAlign w:val="center"/>
          </w:tcPr>
          <w:p>
            <w:pPr>
              <w:pStyle w:val="24"/>
              <w:jc w:val="center"/>
              <w:rPr>
                <w:rFonts w:cs="宋体"/>
                <w:b/>
                <w:sz w:val="24"/>
              </w:rPr>
            </w:pPr>
            <w:r>
              <w:rPr>
                <w:rFonts w:hint="eastAsia" w:cs="宋体"/>
                <w:b/>
                <w:sz w:val="24"/>
              </w:rPr>
              <w:t>税金（元）</w:t>
            </w:r>
          </w:p>
        </w:tc>
        <w:tc>
          <w:tcPr>
            <w:tcW w:w="1702" w:type="dxa"/>
            <w:vAlign w:val="center"/>
          </w:tcPr>
          <w:p>
            <w:pPr>
              <w:pStyle w:val="24"/>
              <w:jc w:val="center"/>
              <w:rPr>
                <w:rFonts w:cs="宋体"/>
                <w:b/>
                <w:sz w:val="24"/>
              </w:rPr>
            </w:pPr>
            <w:r>
              <w:rPr>
                <w:rFonts w:hint="eastAsia" w:cs="宋体"/>
                <w:b/>
                <w:sz w:val="24"/>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2" w:hRule="atLeast"/>
        </w:trPr>
        <w:tc>
          <w:tcPr>
            <w:tcW w:w="735" w:type="dxa"/>
            <w:vAlign w:val="center"/>
          </w:tcPr>
          <w:p>
            <w:pPr>
              <w:pStyle w:val="3"/>
              <w:spacing w:before="0" w:after="0" w:line="360" w:lineRule="auto"/>
              <w:jc w:val="center"/>
              <w:rPr>
                <w:rFonts w:ascii="宋体" w:hAnsi="宋体"/>
                <w:sz w:val="24"/>
                <w:szCs w:val="24"/>
              </w:rPr>
            </w:pPr>
            <w:r>
              <w:rPr>
                <w:rFonts w:hint="eastAsia" w:hAnsi="Wingdings"/>
                <w:sz w:val="24"/>
                <w:szCs w:val="24"/>
              </w:rPr>
              <w:t>1</w:t>
            </w:r>
          </w:p>
        </w:tc>
        <w:tc>
          <w:tcPr>
            <w:tcW w:w="1862" w:type="dxa"/>
            <w:vAlign w:val="center"/>
          </w:tcPr>
          <w:p>
            <w:pPr>
              <w:jc w:val="left"/>
              <w:rPr>
                <w:rFonts w:ascii="宋体" w:hAnsi="宋体"/>
                <w:sz w:val="24"/>
              </w:rPr>
            </w:pPr>
            <w:r>
              <w:rPr>
                <w:rFonts w:hint="eastAsia"/>
                <w:sz w:val="22"/>
                <w:szCs w:val="22"/>
              </w:rPr>
              <w:t>安联湾区时代项目总承包工程造价咨询服务</w:t>
            </w:r>
          </w:p>
        </w:tc>
        <w:tc>
          <w:tcPr>
            <w:tcW w:w="1757" w:type="dxa"/>
            <w:vAlign w:val="center"/>
          </w:tcPr>
          <w:p>
            <w:pPr>
              <w:pStyle w:val="3"/>
              <w:spacing w:before="0" w:after="0" w:line="360" w:lineRule="auto"/>
              <w:jc w:val="center"/>
              <w:rPr>
                <w:rFonts w:hint="default" w:ascii="宋体" w:hAnsi="宋体" w:eastAsia="宋体"/>
                <w:color w:val="auto"/>
                <w:sz w:val="24"/>
                <w:szCs w:val="24"/>
                <w:lang w:val="en-US" w:eastAsia="zh-CN"/>
              </w:rPr>
            </w:pPr>
            <w:r>
              <w:rPr>
                <w:rFonts w:hint="eastAsia" w:eastAsia="宋体"/>
                <w:b w:val="0"/>
                <w:bCs w:val="0"/>
                <w:color w:val="auto"/>
                <w:kern w:val="2"/>
                <w:sz w:val="22"/>
                <w:szCs w:val="22"/>
                <w:u w:val="none"/>
              </w:rPr>
              <w:t>882</w:t>
            </w:r>
            <w:r>
              <w:rPr>
                <w:rFonts w:hint="eastAsia"/>
                <w:b w:val="0"/>
                <w:bCs w:val="0"/>
                <w:color w:val="auto"/>
                <w:kern w:val="2"/>
                <w:sz w:val="22"/>
                <w:szCs w:val="22"/>
                <w:u w:val="none"/>
                <w:lang w:val="en-US" w:eastAsia="zh-CN"/>
              </w:rPr>
              <w:t>000</w:t>
            </w:r>
          </w:p>
        </w:tc>
        <w:tc>
          <w:tcPr>
            <w:tcW w:w="1757" w:type="dxa"/>
            <w:vAlign w:val="center"/>
          </w:tcPr>
          <w:p>
            <w:pPr>
              <w:pStyle w:val="3"/>
              <w:spacing w:before="0" w:after="0" w:line="360" w:lineRule="auto"/>
              <w:jc w:val="center"/>
              <w:rPr>
                <w:rFonts w:ascii="宋体" w:hAnsi="宋体"/>
                <w:sz w:val="24"/>
                <w:szCs w:val="24"/>
              </w:rPr>
            </w:pPr>
          </w:p>
        </w:tc>
        <w:tc>
          <w:tcPr>
            <w:tcW w:w="1328" w:type="dxa"/>
            <w:vAlign w:val="center"/>
          </w:tcPr>
          <w:p>
            <w:pPr>
              <w:pStyle w:val="3"/>
              <w:spacing w:before="0" w:after="0" w:line="360" w:lineRule="auto"/>
              <w:jc w:val="center"/>
              <w:rPr>
                <w:rFonts w:ascii="宋体" w:hAnsi="宋体"/>
                <w:sz w:val="24"/>
                <w:szCs w:val="24"/>
              </w:rPr>
            </w:pPr>
          </w:p>
        </w:tc>
        <w:tc>
          <w:tcPr>
            <w:tcW w:w="1702" w:type="dxa"/>
            <w:vAlign w:val="center"/>
          </w:tcPr>
          <w:p>
            <w:pPr>
              <w:pStyle w:val="3"/>
              <w:spacing w:before="0" w:after="0" w:line="360" w:lineRule="auto"/>
              <w:jc w:val="center"/>
              <w:rPr>
                <w:rFonts w:ascii="宋体" w:hAnsi="宋体"/>
                <w:sz w:val="24"/>
                <w:szCs w:val="24"/>
              </w:rPr>
            </w:pPr>
          </w:p>
        </w:tc>
      </w:tr>
    </w:tbl>
    <w:p/>
    <w:p>
      <w:pPr>
        <w:widowControl/>
        <w:spacing w:line="360" w:lineRule="auto"/>
        <w:ind w:firstLine="480" w:firstLineChars="200"/>
        <w:jc w:val="left"/>
        <w:rPr>
          <w:rFonts w:ascii="宋体" w:hAnsi="宋体" w:cs="宋体"/>
          <w:sz w:val="24"/>
          <w:u w:val="single"/>
        </w:rPr>
      </w:pPr>
      <w:r>
        <w:rPr>
          <w:rFonts w:hint="eastAsia" w:ascii="宋体" w:hAnsi="宋体" w:cs="宋体"/>
          <w:sz w:val="24"/>
        </w:rPr>
        <w:t xml:space="preserve">    增值税税率：</w:t>
      </w:r>
      <w:r>
        <w:rPr>
          <w:rFonts w:hint="eastAsia" w:ascii="宋体" w:hAnsi="宋体" w:cs="宋体"/>
          <w:sz w:val="24"/>
          <w:u w:val="single"/>
        </w:rPr>
        <w:t xml:space="preserve">       %     </w:t>
      </w:r>
    </w:p>
    <w:p>
      <w:pPr>
        <w:widowControl/>
        <w:spacing w:line="360" w:lineRule="auto"/>
        <w:jc w:val="left"/>
        <w:rPr>
          <w:rFonts w:ascii="宋体" w:hAnsi="宋体" w:cs="宋体"/>
          <w:sz w:val="24"/>
        </w:rPr>
      </w:pPr>
    </w:p>
    <w:p>
      <w:pPr>
        <w:widowControl/>
        <w:spacing w:line="360" w:lineRule="auto"/>
        <w:ind w:firstLine="480" w:firstLineChars="200"/>
        <w:jc w:val="left"/>
        <w:rPr>
          <w:rFonts w:ascii="宋体" w:hAnsi="宋体" w:cs="宋体"/>
          <w:sz w:val="24"/>
        </w:rPr>
      </w:pPr>
    </w:p>
    <w:p>
      <w:pPr>
        <w:widowControl/>
        <w:spacing w:line="360" w:lineRule="auto"/>
        <w:ind w:firstLine="480" w:firstLineChars="200"/>
        <w:jc w:val="left"/>
        <w:rPr>
          <w:rFonts w:ascii="宋体" w:hAnsi="宋体" w:cs="宋体"/>
          <w:sz w:val="24"/>
        </w:rPr>
      </w:pPr>
      <w:r>
        <w:rPr>
          <w:rFonts w:hint="eastAsia" w:ascii="宋体" w:hAnsi="宋体" w:cs="宋体"/>
          <w:sz w:val="24"/>
          <w:lang w:val="en-US" w:eastAsia="zh-CN"/>
        </w:rPr>
        <w:t>响 应 人</w:t>
      </w:r>
      <w:r>
        <w:rPr>
          <w:rFonts w:hint="eastAsia" w:ascii="宋体" w:hAnsi="宋体" w:cs="宋体"/>
          <w:sz w:val="24"/>
        </w:rPr>
        <w:t>：(盖章)</w:t>
      </w:r>
      <w:bookmarkStart w:id="21" w:name="_GoBack"/>
      <w:bookmarkEnd w:id="21"/>
    </w:p>
    <w:p>
      <w:pPr>
        <w:widowControl/>
        <w:spacing w:line="360" w:lineRule="auto"/>
        <w:ind w:firstLine="480" w:firstLineChars="200"/>
        <w:jc w:val="left"/>
        <w:rPr>
          <w:rFonts w:ascii="宋体" w:hAnsi="宋体" w:cs="宋体"/>
          <w:sz w:val="24"/>
        </w:rPr>
      </w:pPr>
    </w:p>
    <w:p>
      <w:pPr>
        <w:widowControl/>
        <w:spacing w:line="360" w:lineRule="auto"/>
        <w:ind w:firstLine="480" w:firstLineChars="200"/>
        <w:jc w:val="left"/>
        <w:rPr>
          <w:rFonts w:ascii="宋体" w:hAnsi="宋体" w:cs="宋体"/>
          <w:sz w:val="24"/>
        </w:rPr>
      </w:pPr>
      <w:r>
        <w:rPr>
          <w:rFonts w:hint="eastAsia" w:ascii="宋体" w:hAnsi="宋体" w:cs="宋体"/>
          <w:sz w:val="24"/>
        </w:rPr>
        <w:t>法定代表人：</w:t>
      </w:r>
      <w:r>
        <w:rPr>
          <w:rFonts w:hint="eastAsia" w:ascii="宋体" w:hAnsi="宋体" w:cs="宋体"/>
          <w:sz w:val="24"/>
          <w:u w:val="single"/>
        </w:rPr>
        <w:t xml:space="preserve">  (签字、签章)</w:t>
      </w:r>
    </w:p>
    <w:p>
      <w:pPr>
        <w:widowControl/>
        <w:spacing w:line="360" w:lineRule="auto"/>
        <w:ind w:firstLine="480" w:firstLineChars="200"/>
        <w:jc w:val="left"/>
        <w:rPr>
          <w:rFonts w:ascii="宋体" w:hAnsi="宋体" w:cs="宋体"/>
          <w:sz w:val="24"/>
        </w:rPr>
      </w:pPr>
    </w:p>
    <w:p>
      <w:pPr>
        <w:widowControl/>
        <w:spacing w:line="360" w:lineRule="auto"/>
        <w:ind w:firstLine="480" w:firstLineChars="200"/>
        <w:jc w:val="left"/>
        <w:rPr>
          <w:rFonts w:ascii="宋体" w:hAnsi="宋体" w:cs="宋体"/>
          <w:sz w:val="24"/>
        </w:rPr>
      </w:pPr>
      <w:r>
        <w:rPr>
          <w:rFonts w:hint="eastAsia" w:ascii="宋体" w:hAnsi="宋体" w:cs="宋体"/>
          <w:sz w:val="24"/>
        </w:rPr>
        <w:t>日      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240" w:lineRule="auto"/>
        <w:jc w:val="left"/>
        <w:rPr>
          <w:b/>
          <w:sz w:val="32"/>
          <w:szCs w:val="32"/>
        </w:rPr>
      </w:pPr>
      <w:r>
        <w:rPr>
          <w:b/>
          <w:sz w:val="32"/>
          <w:szCs w:val="32"/>
        </w:rPr>
        <w:br w:type="page"/>
      </w:r>
    </w:p>
    <w:p>
      <w:pPr>
        <w:spacing w:line="360" w:lineRule="auto"/>
        <w:jc w:val="center"/>
        <w:rPr>
          <w:b/>
          <w:sz w:val="32"/>
          <w:szCs w:val="32"/>
        </w:rPr>
      </w:pPr>
      <w:r>
        <w:rPr>
          <w:b/>
          <w:sz w:val="32"/>
          <w:szCs w:val="32"/>
        </w:rPr>
        <w:t>二、法定代表人身份证明及授权委托书</w:t>
      </w:r>
    </w:p>
    <w:p>
      <w:pPr>
        <w:topLinePunct/>
        <w:spacing w:line="360" w:lineRule="auto"/>
        <w:jc w:val="center"/>
        <w:rPr>
          <w:rFonts w:eastAsia="黑体"/>
          <w:bCs/>
          <w:sz w:val="27"/>
          <w:szCs w:val="27"/>
        </w:rPr>
      </w:pPr>
    </w:p>
    <w:p>
      <w:pPr>
        <w:topLinePunct/>
        <w:spacing w:line="360" w:lineRule="auto"/>
        <w:jc w:val="center"/>
        <w:rPr>
          <w:rFonts w:eastAsia="黑体"/>
          <w:bCs/>
          <w:sz w:val="28"/>
          <w:szCs w:val="28"/>
        </w:rPr>
      </w:pPr>
      <w:r>
        <w:rPr>
          <w:rFonts w:eastAsia="黑体"/>
          <w:bCs/>
          <w:sz w:val="28"/>
          <w:szCs w:val="28"/>
        </w:rPr>
        <w:t>法定代表人身份证明</w:t>
      </w:r>
    </w:p>
    <w:p>
      <w:pPr>
        <w:topLinePunct/>
        <w:spacing w:line="360" w:lineRule="auto"/>
        <w:jc w:val="center"/>
        <w:rPr>
          <w:bCs/>
          <w:sz w:val="27"/>
          <w:szCs w:val="27"/>
        </w:rPr>
      </w:pPr>
    </w:p>
    <w:p>
      <w:pPr>
        <w:topLinePunct/>
        <w:spacing w:line="360" w:lineRule="auto"/>
        <w:rPr>
          <w:bCs/>
          <w:sz w:val="24"/>
          <w:u w:val="single"/>
        </w:rPr>
      </w:pPr>
      <w:r>
        <w:rPr>
          <w:rFonts w:hint="eastAsia"/>
          <w:bCs/>
          <w:sz w:val="24"/>
        </w:rPr>
        <w:t>响应人</w:t>
      </w:r>
      <w:r>
        <w:rPr>
          <w:bCs/>
          <w:sz w:val="24"/>
        </w:rPr>
        <w:t>名称：</w:t>
      </w:r>
    </w:p>
    <w:p>
      <w:pPr>
        <w:topLinePunct/>
        <w:spacing w:line="360" w:lineRule="auto"/>
        <w:rPr>
          <w:bCs/>
          <w:sz w:val="24"/>
        </w:rPr>
      </w:pPr>
      <w:r>
        <w:rPr>
          <w:bCs/>
          <w:sz w:val="24"/>
        </w:rPr>
        <w:t>单位性质：</w:t>
      </w:r>
    </w:p>
    <w:p>
      <w:pPr>
        <w:topLinePunct/>
        <w:spacing w:line="360" w:lineRule="auto"/>
        <w:rPr>
          <w:bCs/>
          <w:sz w:val="24"/>
        </w:rPr>
      </w:pPr>
      <w:r>
        <w:rPr>
          <w:sz w:val="24"/>
        </w:rPr>
        <w:t>地址：</w:t>
      </w:r>
    </w:p>
    <w:p>
      <w:pPr>
        <w:topLinePunct/>
        <w:spacing w:line="360" w:lineRule="auto"/>
        <w:rPr>
          <w:bCs/>
          <w:sz w:val="24"/>
        </w:rPr>
      </w:pPr>
      <w:r>
        <w:rPr>
          <w:bCs/>
          <w:sz w:val="24"/>
        </w:rPr>
        <w:t>成立时间：年月日</w:t>
      </w:r>
    </w:p>
    <w:p>
      <w:pPr>
        <w:topLinePunct/>
        <w:spacing w:line="360" w:lineRule="auto"/>
        <w:rPr>
          <w:bCs/>
          <w:sz w:val="24"/>
        </w:rPr>
      </w:pPr>
      <w:r>
        <w:rPr>
          <w:bCs/>
          <w:sz w:val="24"/>
        </w:rPr>
        <w:t>经营期限：</w:t>
      </w:r>
    </w:p>
    <w:p>
      <w:pPr>
        <w:topLinePunct/>
        <w:spacing w:line="360" w:lineRule="auto"/>
        <w:rPr>
          <w:bCs/>
          <w:sz w:val="24"/>
        </w:rPr>
      </w:pPr>
      <w:r>
        <w:rPr>
          <w:bCs/>
          <w:sz w:val="24"/>
        </w:rPr>
        <w:t>姓名：</w:t>
      </w:r>
    </w:p>
    <w:p>
      <w:pPr>
        <w:topLinePunct/>
        <w:spacing w:line="360" w:lineRule="auto"/>
        <w:rPr>
          <w:bCs/>
          <w:sz w:val="24"/>
        </w:rPr>
      </w:pPr>
      <w:r>
        <w:rPr>
          <w:bCs/>
          <w:sz w:val="24"/>
        </w:rPr>
        <w:t>性别：</w:t>
      </w:r>
    </w:p>
    <w:p>
      <w:pPr>
        <w:topLinePunct/>
        <w:spacing w:line="360" w:lineRule="auto"/>
        <w:rPr>
          <w:bCs/>
          <w:sz w:val="24"/>
        </w:rPr>
      </w:pPr>
      <w:r>
        <w:rPr>
          <w:bCs/>
          <w:sz w:val="24"/>
        </w:rPr>
        <w:t>年龄：</w:t>
      </w:r>
    </w:p>
    <w:p>
      <w:pPr>
        <w:topLinePunct/>
        <w:spacing w:line="360" w:lineRule="auto"/>
        <w:rPr>
          <w:bCs/>
          <w:sz w:val="24"/>
          <w:u w:val="single"/>
        </w:rPr>
      </w:pPr>
      <w:r>
        <w:rPr>
          <w:bCs/>
          <w:sz w:val="24"/>
        </w:rPr>
        <w:t>职务：</w:t>
      </w:r>
    </w:p>
    <w:p>
      <w:pPr>
        <w:topLinePunct/>
        <w:spacing w:line="360" w:lineRule="auto"/>
        <w:rPr>
          <w:bCs/>
          <w:sz w:val="24"/>
        </w:rPr>
      </w:pPr>
      <w:r>
        <w:rPr>
          <w:bCs/>
          <w:sz w:val="24"/>
        </w:rPr>
        <w:t>系(</w:t>
      </w:r>
      <w:r>
        <w:rPr>
          <w:rFonts w:hint="eastAsia"/>
          <w:bCs/>
          <w:sz w:val="24"/>
        </w:rPr>
        <w:t>响应人</w:t>
      </w:r>
      <w:r>
        <w:rPr>
          <w:bCs/>
          <w:sz w:val="24"/>
        </w:rPr>
        <w:t>名称)的法定代表人。</w:t>
      </w:r>
    </w:p>
    <w:p>
      <w:pPr>
        <w:topLinePunct/>
        <w:spacing w:line="360" w:lineRule="auto"/>
        <w:ind w:firstLine="480" w:firstLineChars="200"/>
        <w:rPr>
          <w:bCs/>
          <w:sz w:val="24"/>
        </w:rPr>
      </w:pPr>
      <w:r>
        <w:rPr>
          <w:bCs/>
          <w:sz w:val="24"/>
        </w:rPr>
        <w:t>特此证明。</w:t>
      </w:r>
    </w:p>
    <w:p>
      <w:pPr>
        <w:topLinePunct/>
        <w:spacing w:line="360" w:lineRule="auto"/>
        <w:rPr>
          <w:bCs/>
          <w:sz w:val="24"/>
        </w:rPr>
      </w:pPr>
    </w:p>
    <w:p>
      <w:pPr>
        <w:topLinePunct/>
        <w:spacing w:line="360" w:lineRule="auto"/>
        <w:rPr>
          <w:bCs/>
          <w:sz w:val="24"/>
        </w:rPr>
      </w:pPr>
    </w:p>
    <w:p>
      <w:pPr>
        <w:topLinePunct/>
        <w:spacing w:line="360" w:lineRule="auto"/>
        <w:ind w:firstLine="3000" w:firstLineChars="1250"/>
        <w:rPr>
          <w:bCs/>
          <w:sz w:val="24"/>
        </w:rPr>
      </w:pPr>
      <w:r>
        <w:rPr>
          <w:rFonts w:hint="eastAsia"/>
          <w:bCs/>
          <w:sz w:val="24"/>
        </w:rPr>
        <w:t>响应人</w:t>
      </w:r>
      <w:r>
        <w:rPr>
          <w:bCs/>
          <w:sz w:val="24"/>
        </w:rPr>
        <w:t>：(盖单位章)</w:t>
      </w:r>
    </w:p>
    <w:p>
      <w:pPr>
        <w:topLinePunct/>
        <w:spacing w:line="360" w:lineRule="auto"/>
        <w:ind w:firstLine="4200" w:firstLineChars="1750"/>
        <w:rPr>
          <w:bCs/>
          <w:sz w:val="24"/>
        </w:rPr>
      </w:pPr>
      <w:r>
        <w:rPr>
          <w:bCs/>
          <w:sz w:val="24"/>
        </w:rPr>
        <w:t>年</w:t>
      </w:r>
      <w:r>
        <w:rPr>
          <w:rFonts w:hint="eastAsia"/>
          <w:bCs/>
          <w:sz w:val="24"/>
        </w:rPr>
        <w:t xml:space="preserve">  </w:t>
      </w:r>
      <w:r>
        <w:rPr>
          <w:bCs/>
          <w:sz w:val="24"/>
        </w:rPr>
        <w:t>月</w:t>
      </w:r>
      <w:r>
        <w:rPr>
          <w:rFonts w:hint="eastAsia"/>
          <w:bCs/>
          <w:sz w:val="24"/>
        </w:rPr>
        <w:t xml:space="preserve">  </w:t>
      </w:r>
      <w:r>
        <w:rPr>
          <w:bCs/>
          <w:sz w:val="24"/>
        </w:rPr>
        <w:t>日</w:t>
      </w:r>
    </w:p>
    <w:p>
      <w:pPr>
        <w:topLinePunct/>
        <w:spacing w:line="360" w:lineRule="auto"/>
        <w:jc w:val="center"/>
        <w:rPr>
          <w:bCs/>
          <w:sz w:val="24"/>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p>
    <w:p>
      <w:pPr>
        <w:jc w:val="center"/>
        <w:rPr>
          <w:sz w:val="27"/>
          <w:szCs w:val="27"/>
        </w:rPr>
      </w:pPr>
      <w:r>
        <w:rPr>
          <w:sz w:val="27"/>
          <w:szCs w:val="27"/>
        </w:rPr>
        <w:t>授权委托书</w:t>
      </w:r>
    </w:p>
    <w:p>
      <w:pPr>
        <w:rPr>
          <w:sz w:val="19"/>
          <w:szCs w:val="19"/>
        </w:rPr>
      </w:pPr>
    </w:p>
    <w:p>
      <w:pPr>
        <w:rPr>
          <w:sz w:val="23"/>
          <w:szCs w:val="23"/>
        </w:rPr>
      </w:pPr>
    </w:p>
    <w:p>
      <w:pPr>
        <w:spacing w:line="360" w:lineRule="auto"/>
        <w:ind w:left="120" w:leftChars="57" w:firstLine="360" w:firstLineChars="150"/>
        <w:rPr>
          <w:sz w:val="24"/>
        </w:rPr>
      </w:pPr>
      <w:r>
        <w:rPr>
          <w:sz w:val="24"/>
        </w:rPr>
        <w:t>本人（姓名）系（</w:t>
      </w:r>
      <w:r>
        <w:rPr>
          <w:rFonts w:hint="eastAsia"/>
          <w:sz w:val="24"/>
        </w:rPr>
        <w:t>响应人</w:t>
      </w:r>
      <w:r>
        <w:rPr>
          <w:sz w:val="24"/>
        </w:rPr>
        <w:t>名称）的法定代表人，现委托（姓名）为我方的代理人。代理人根据授权，以我方名义购买（项目名称）</w:t>
      </w:r>
      <w:r>
        <w:rPr>
          <w:rFonts w:hint="eastAsia"/>
          <w:sz w:val="24"/>
        </w:rPr>
        <w:t>采购文件</w:t>
      </w:r>
      <w:r>
        <w:rPr>
          <w:sz w:val="24"/>
        </w:rPr>
        <w:t>，签署、澄清、说明、补正、递交、撤回、修改（项目名称）</w:t>
      </w:r>
      <w:r>
        <w:rPr>
          <w:rFonts w:hint="eastAsia"/>
          <w:sz w:val="24"/>
        </w:rPr>
        <w:t>响应文件</w:t>
      </w:r>
      <w:r>
        <w:rPr>
          <w:sz w:val="24"/>
        </w:rPr>
        <w:t>、签订合同和处理有关事宜，其法律后果由我方承担。</w:t>
      </w:r>
    </w:p>
    <w:p>
      <w:pPr>
        <w:spacing w:line="360" w:lineRule="auto"/>
        <w:ind w:firstLine="480" w:firstLineChars="200"/>
        <w:rPr>
          <w:sz w:val="24"/>
        </w:rPr>
      </w:pPr>
      <w:r>
        <w:rPr>
          <w:sz w:val="24"/>
        </w:rPr>
        <w:t>委托期限：</w:t>
      </w:r>
      <w:r>
        <w:rPr>
          <w:sz w:val="24"/>
          <w:u w:val="single"/>
        </w:rPr>
        <w:t>同报价有效期。</w:t>
      </w:r>
    </w:p>
    <w:p>
      <w:pPr>
        <w:spacing w:line="360" w:lineRule="auto"/>
        <w:ind w:firstLine="480" w:firstLineChars="200"/>
        <w:rPr>
          <w:sz w:val="24"/>
        </w:rPr>
      </w:pPr>
      <w:r>
        <w:rPr>
          <w:sz w:val="24"/>
        </w:rPr>
        <w:t>代理人无转委托权。</w:t>
      </w:r>
    </w:p>
    <w:p>
      <w:pPr>
        <w:spacing w:line="360" w:lineRule="auto"/>
        <w:ind w:firstLine="4095" w:firstLineChars="1950"/>
        <w:rPr>
          <w:szCs w:val="21"/>
        </w:rPr>
      </w:pPr>
    </w:p>
    <w:p>
      <w:pPr>
        <w:spacing w:line="360" w:lineRule="auto"/>
        <w:ind w:firstLine="4095" w:firstLineChars="1950"/>
        <w:rPr>
          <w:szCs w:val="21"/>
        </w:rPr>
      </w:pPr>
      <w:r>
        <w:rPr>
          <w:rFonts w:hint="eastAsia"/>
          <w:szCs w:val="21"/>
        </w:rPr>
        <w:t>响应人</w:t>
      </w:r>
      <w:r>
        <w:rPr>
          <w:szCs w:val="21"/>
        </w:rPr>
        <w:t>：</w:t>
      </w:r>
      <w:r>
        <w:rPr>
          <w:szCs w:val="21"/>
          <w:u w:val="single"/>
        </w:rPr>
        <w:t>（全称）（盖单位章）</w:t>
      </w:r>
    </w:p>
    <w:p>
      <w:pPr>
        <w:spacing w:line="360" w:lineRule="auto"/>
        <w:ind w:firstLine="4095" w:firstLineChars="1950"/>
        <w:rPr>
          <w:szCs w:val="21"/>
        </w:rPr>
      </w:pPr>
      <w:r>
        <w:rPr>
          <w:szCs w:val="21"/>
        </w:rPr>
        <w:t>法定代表人：</w:t>
      </w:r>
      <w:r>
        <w:rPr>
          <w:szCs w:val="21"/>
          <w:u w:val="single"/>
        </w:rPr>
        <w:t>（签名或签章）</w:t>
      </w:r>
    </w:p>
    <w:p>
      <w:pPr>
        <w:spacing w:line="360" w:lineRule="auto"/>
        <w:ind w:firstLine="4095" w:firstLineChars="1950"/>
        <w:rPr>
          <w:szCs w:val="21"/>
        </w:rPr>
      </w:pPr>
      <w:r>
        <w:rPr>
          <w:szCs w:val="21"/>
        </w:rPr>
        <w:t>身份证号码：</w:t>
      </w:r>
    </w:p>
    <w:p>
      <w:pPr>
        <w:spacing w:line="360" w:lineRule="auto"/>
        <w:ind w:firstLine="4095" w:firstLineChars="1950"/>
        <w:rPr>
          <w:szCs w:val="21"/>
          <w:u w:val="single"/>
        </w:rPr>
      </w:pPr>
      <w:r>
        <w:rPr>
          <w:szCs w:val="21"/>
        </w:rPr>
        <w:t>委托代理人：</w:t>
      </w:r>
      <w:r>
        <w:rPr>
          <w:szCs w:val="21"/>
          <w:u w:val="single"/>
        </w:rPr>
        <w:t>（签名）</w:t>
      </w:r>
    </w:p>
    <w:p>
      <w:pPr>
        <w:spacing w:line="360" w:lineRule="auto"/>
        <w:ind w:firstLine="4095" w:firstLineChars="1950"/>
        <w:rPr>
          <w:szCs w:val="21"/>
        </w:rPr>
      </w:pPr>
      <w:r>
        <w:rPr>
          <w:szCs w:val="21"/>
        </w:rPr>
        <w:t>身份证号码：</w:t>
      </w:r>
    </w:p>
    <w:p>
      <w:pPr>
        <w:spacing w:line="360" w:lineRule="auto"/>
        <w:ind w:firstLine="4095" w:firstLineChars="1950"/>
        <w:rPr>
          <w:szCs w:val="21"/>
        </w:rPr>
      </w:pPr>
      <w:r>
        <w:rPr>
          <w:szCs w:val="21"/>
        </w:rPr>
        <w:t>日期：</w:t>
      </w:r>
      <w:r>
        <w:rPr>
          <w:rFonts w:hint="eastAsia"/>
          <w:szCs w:val="21"/>
        </w:rPr>
        <w:t xml:space="preserve">    </w:t>
      </w:r>
      <w:r>
        <w:rPr>
          <w:szCs w:val="21"/>
        </w:rPr>
        <w:t>年</w:t>
      </w:r>
      <w:r>
        <w:rPr>
          <w:rFonts w:hint="eastAsia"/>
          <w:szCs w:val="21"/>
        </w:rPr>
        <w:t xml:space="preserve">   </w:t>
      </w:r>
      <w:r>
        <w:rPr>
          <w:szCs w:val="21"/>
        </w:rPr>
        <w:t>月</w:t>
      </w:r>
      <w:r>
        <w:rPr>
          <w:rFonts w:hint="eastAsia"/>
          <w:szCs w:val="21"/>
        </w:rPr>
        <w:t xml:space="preserve">   </w:t>
      </w:r>
      <w:r>
        <w:rPr>
          <w:szCs w:val="21"/>
        </w:rPr>
        <w:t>日</w:t>
      </w:r>
    </w:p>
    <w:p>
      <w:pPr>
        <w:spacing w:line="360" w:lineRule="auto"/>
      </w:pPr>
      <w:r>
        <w:t>注：</w:t>
      </w:r>
    </w:p>
    <w:p>
      <w:pPr>
        <w:topLinePunct/>
        <w:spacing w:line="360" w:lineRule="auto"/>
        <w:ind w:firstLine="420" w:firstLineChars="200"/>
        <w:rPr>
          <w:szCs w:val="21"/>
        </w:rPr>
      </w:pPr>
      <w:r>
        <w:rPr>
          <w:szCs w:val="21"/>
        </w:rPr>
        <w:t>1.如果由</w:t>
      </w:r>
      <w:r>
        <w:rPr>
          <w:rFonts w:hint="eastAsia"/>
          <w:szCs w:val="21"/>
        </w:rPr>
        <w:t>响应人</w:t>
      </w:r>
      <w:r>
        <w:rPr>
          <w:szCs w:val="21"/>
        </w:rPr>
        <w:t>的法定代表人签署</w:t>
      </w:r>
      <w:r>
        <w:rPr>
          <w:rFonts w:hint="eastAsia"/>
          <w:szCs w:val="21"/>
        </w:rPr>
        <w:t>响应文件</w:t>
      </w:r>
      <w:r>
        <w:rPr>
          <w:szCs w:val="21"/>
        </w:rPr>
        <w:t>，则不需提交授权委托书；</w:t>
      </w:r>
    </w:p>
    <w:p>
      <w:pPr>
        <w:topLinePunct/>
        <w:spacing w:line="360" w:lineRule="auto"/>
        <w:ind w:firstLine="420" w:firstLineChars="200"/>
        <w:rPr>
          <w:szCs w:val="21"/>
        </w:rPr>
      </w:pPr>
      <w:r>
        <w:rPr>
          <w:szCs w:val="21"/>
        </w:rPr>
        <w:t>2.法定代表人在授权书上签名或签章；委托代理人必须在授权书上亲笔签名，不得使用印章、签名章或其他电子制版签名。委托期限必须确保授权委托书在报价有效期满前一直保持有效。</w:t>
      </w:r>
    </w:p>
    <w:p>
      <w:pPr>
        <w:spacing w:line="360" w:lineRule="auto"/>
        <w:ind w:firstLine="420" w:firstLineChars="200"/>
        <w:rPr>
          <w:szCs w:val="21"/>
        </w:rPr>
      </w:pPr>
    </w:p>
    <w:p>
      <w:pPr>
        <w:spacing w:line="360" w:lineRule="auto"/>
        <w:ind w:firstLine="420" w:firstLineChars="200"/>
        <w:rPr>
          <w:szCs w:val="21"/>
        </w:rPr>
      </w:pPr>
    </w:p>
    <w:p>
      <w:pPr>
        <w:spacing w:line="360" w:lineRule="auto"/>
        <w:ind w:firstLine="420" w:firstLineChars="200"/>
        <w:rPr>
          <w:szCs w:val="21"/>
        </w:rPr>
      </w:pPr>
    </w:p>
    <w:p>
      <w:pPr>
        <w:ind w:firstLine="420" w:firstLineChars="200"/>
        <w:rPr>
          <w:szCs w:val="21"/>
        </w:rPr>
      </w:pPr>
    </w:p>
    <w:p>
      <w:pPr>
        <w:ind w:firstLine="420" w:firstLineChars="200"/>
        <w:rPr>
          <w:szCs w:val="21"/>
        </w:rPr>
      </w:pPr>
    </w:p>
    <w:p>
      <w:pPr>
        <w:rPr>
          <w:sz w:val="24"/>
        </w:rPr>
      </w:pPr>
    </w:p>
    <w:p>
      <w:pPr>
        <w:rPr>
          <w:sz w:val="24"/>
        </w:rPr>
      </w:pPr>
    </w:p>
    <w:p>
      <w:pPr>
        <w:jc w:val="center"/>
        <w:rPr>
          <w:sz w:val="27"/>
          <w:szCs w:val="27"/>
        </w:rPr>
        <w:sectPr>
          <w:footnotePr>
            <w:numFmt w:val="decimalEnclosedCircleChinese"/>
            <w:numRestart w:val="eachPage"/>
          </w:footnotePr>
          <w:pgSz w:w="11906" w:h="16838"/>
          <w:pgMar w:top="1418" w:right="1304" w:bottom="1418" w:left="1588" w:header="851" w:footer="851" w:gutter="0"/>
          <w:cols w:space="720" w:num="1"/>
          <w:docGrid w:linePitch="312" w:charSpace="0"/>
        </w:sectPr>
      </w:pPr>
    </w:p>
    <w:p>
      <w:pPr>
        <w:pStyle w:val="6"/>
        <w:numPr>
          <w:ilvl w:val="2"/>
          <w:numId w:val="0"/>
        </w:numPr>
        <w:snapToGrid w:val="0"/>
        <w:spacing w:before="0" w:line="240" w:lineRule="auto"/>
        <w:ind w:left="2520"/>
        <w:jc w:val="both"/>
        <w:rPr>
          <w:rFonts w:eastAsia="黑体"/>
          <w:b w:val="0"/>
          <w:sz w:val="28"/>
        </w:rPr>
      </w:pPr>
      <w:r>
        <w:rPr>
          <w:rFonts w:hint="eastAsia" w:eastAsia="黑体"/>
          <w:b w:val="0"/>
          <w:sz w:val="28"/>
        </w:rPr>
        <w:t>三、响应人</w:t>
      </w:r>
      <w:r>
        <w:rPr>
          <w:rFonts w:eastAsia="黑体"/>
          <w:b w:val="0"/>
          <w:sz w:val="28"/>
        </w:rPr>
        <w:t>基本情况表</w:t>
      </w:r>
    </w:p>
    <w:tbl>
      <w:tblPr>
        <w:tblStyle w:val="61"/>
        <w:tblW w:w="907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38"/>
        <w:gridCol w:w="915"/>
        <w:gridCol w:w="1097"/>
        <w:gridCol w:w="732"/>
        <w:gridCol w:w="549"/>
        <w:gridCol w:w="1095"/>
        <w:gridCol w:w="498"/>
        <w:gridCol w:w="874"/>
        <w:gridCol w:w="137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jc w:val="center"/>
        </w:trPr>
        <w:tc>
          <w:tcPr>
            <w:tcW w:w="1938" w:type="dxa"/>
            <w:tcBorders>
              <w:top w:val="single" w:color="auto" w:sz="4" w:space="0"/>
              <w:left w:val="single" w:color="auto" w:sz="4" w:space="0"/>
              <w:bottom w:val="single" w:color="auto" w:sz="4" w:space="0"/>
              <w:right w:val="single" w:color="auto" w:sz="4" w:space="0"/>
            </w:tcBorders>
            <w:vAlign w:val="center"/>
          </w:tcPr>
          <w:p>
            <w:pPr>
              <w:topLinePunct/>
              <w:snapToGrid w:val="0"/>
              <w:jc w:val="center"/>
              <w:rPr>
                <w:szCs w:val="21"/>
              </w:rPr>
            </w:pPr>
            <w:r>
              <w:rPr>
                <w:rFonts w:hint="eastAsia"/>
                <w:szCs w:val="21"/>
              </w:rPr>
              <w:t>响应人</w:t>
            </w:r>
            <w:r>
              <w:rPr>
                <w:szCs w:val="21"/>
              </w:rPr>
              <w:t>名称</w:t>
            </w:r>
          </w:p>
        </w:tc>
        <w:tc>
          <w:tcPr>
            <w:tcW w:w="7134" w:type="dxa"/>
            <w:gridSpan w:val="8"/>
            <w:tcBorders>
              <w:top w:val="single" w:color="auto" w:sz="4" w:space="0"/>
              <w:left w:val="single" w:color="auto" w:sz="4" w:space="0"/>
              <w:bottom w:val="single" w:color="auto" w:sz="4" w:space="0"/>
              <w:right w:val="single" w:color="auto" w:sz="4" w:space="0"/>
            </w:tcBorders>
            <w:vAlign w:val="center"/>
          </w:tcPr>
          <w:p>
            <w:pPr>
              <w:topLinePunct/>
              <w:snapToGrid w:val="0"/>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1" w:hRule="atLeast"/>
          <w:jc w:val="center"/>
        </w:trPr>
        <w:tc>
          <w:tcPr>
            <w:tcW w:w="193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注册地址和网址（如有）</w:t>
            </w:r>
          </w:p>
        </w:tc>
        <w:tc>
          <w:tcPr>
            <w:tcW w:w="3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邮政编码</w:t>
            </w:r>
          </w:p>
        </w:tc>
        <w:tc>
          <w:tcPr>
            <w:tcW w:w="2746"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5" w:hRule="atLeast"/>
          <w:jc w:val="center"/>
        </w:trPr>
        <w:tc>
          <w:tcPr>
            <w:tcW w:w="193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联系方式</w:t>
            </w:r>
          </w:p>
        </w:tc>
        <w:tc>
          <w:tcPr>
            <w:tcW w:w="91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联系人</w:t>
            </w:r>
          </w:p>
        </w:tc>
        <w:tc>
          <w:tcPr>
            <w:tcW w:w="2378"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 话</w:t>
            </w:r>
          </w:p>
        </w:tc>
        <w:tc>
          <w:tcPr>
            <w:tcW w:w="2746"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3" w:hRule="atLeast"/>
          <w:jc w:val="center"/>
        </w:trPr>
        <w:tc>
          <w:tcPr>
            <w:tcW w:w="193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91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传  真</w:t>
            </w:r>
          </w:p>
        </w:tc>
        <w:tc>
          <w:tcPr>
            <w:tcW w:w="2378"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电子邮件</w:t>
            </w:r>
          </w:p>
        </w:tc>
        <w:tc>
          <w:tcPr>
            <w:tcW w:w="2746"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8" w:hRule="atLeast"/>
          <w:jc w:val="center"/>
        </w:trPr>
        <w:tc>
          <w:tcPr>
            <w:tcW w:w="193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法定代表人</w:t>
            </w:r>
          </w:p>
        </w:tc>
        <w:tc>
          <w:tcPr>
            <w:tcW w:w="91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109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81"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59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7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137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jc w:val="center"/>
        </w:trPr>
        <w:tc>
          <w:tcPr>
            <w:tcW w:w="193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成立时间</w:t>
            </w:r>
          </w:p>
        </w:tc>
        <w:tc>
          <w:tcPr>
            <w:tcW w:w="201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5122" w:type="dxa"/>
            <w:gridSpan w:val="6"/>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50" w:firstLineChars="500"/>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58" w:hRule="atLeast"/>
          <w:jc w:val="center"/>
        </w:trPr>
        <w:tc>
          <w:tcPr>
            <w:tcW w:w="193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企业资质等级</w:t>
            </w:r>
          </w:p>
        </w:tc>
        <w:tc>
          <w:tcPr>
            <w:tcW w:w="201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732"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其中</w:t>
            </w:r>
          </w:p>
        </w:tc>
        <w:tc>
          <w:tcPr>
            <w:tcW w:w="21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注册造价工程师</w:t>
            </w:r>
          </w:p>
        </w:tc>
        <w:tc>
          <w:tcPr>
            <w:tcW w:w="224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0" w:hRule="atLeast"/>
          <w:jc w:val="center"/>
        </w:trPr>
        <w:tc>
          <w:tcPr>
            <w:tcW w:w="193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营业执照号</w:t>
            </w:r>
          </w:p>
        </w:tc>
        <w:tc>
          <w:tcPr>
            <w:tcW w:w="201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732"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1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高级职称人员</w:t>
            </w:r>
          </w:p>
        </w:tc>
        <w:tc>
          <w:tcPr>
            <w:tcW w:w="224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4" w:hRule="atLeast"/>
          <w:jc w:val="center"/>
        </w:trPr>
        <w:tc>
          <w:tcPr>
            <w:tcW w:w="193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注册资本</w:t>
            </w:r>
          </w:p>
        </w:tc>
        <w:tc>
          <w:tcPr>
            <w:tcW w:w="201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732"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1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中级职称人员</w:t>
            </w:r>
          </w:p>
        </w:tc>
        <w:tc>
          <w:tcPr>
            <w:tcW w:w="224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0" w:hRule="atLeast"/>
          <w:jc w:val="center"/>
        </w:trPr>
        <w:tc>
          <w:tcPr>
            <w:tcW w:w="193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基本账户开户银行</w:t>
            </w:r>
          </w:p>
        </w:tc>
        <w:tc>
          <w:tcPr>
            <w:tcW w:w="201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732"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142" w:type="dxa"/>
            <w:gridSpan w:val="3"/>
            <w:vMerge w:val="restart"/>
            <w:tcBorders>
              <w:top w:val="single" w:color="auto" w:sz="4" w:space="0"/>
              <w:left w:val="single" w:color="auto" w:sz="4" w:space="0"/>
              <w:right w:val="single" w:color="auto" w:sz="4" w:space="0"/>
            </w:tcBorders>
            <w:vAlign w:val="center"/>
          </w:tcPr>
          <w:p>
            <w:pPr>
              <w:topLinePunct/>
              <w:spacing w:line="440" w:lineRule="exact"/>
              <w:jc w:val="center"/>
              <w:rPr>
                <w:szCs w:val="21"/>
              </w:rPr>
            </w:pPr>
            <w:r>
              <w:rPr>
                <w:szCs w:val="21"/>
              </w:rPr>
              <w:t>初级职称人员</w:t>
            </w:r>
          </w:p>
        </w:tc>
        <w:tc>
          <w:tcPr>
            <w:tcW w:w="2248" w:type="dxa"/>
            <w:gridSpan w:val="2"/>
            <w:vMerge w:val="restart"/>
            <w:tcBorders>
              <w:top w:val="single" w:color="auto" w:sz="4" w:space="0"/>
              <w:left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93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基本账户账号</w:t>
            </w:r>
          </w:p>
        </w:tc>
        <w:tc>
          <w:tcPr>
            <w:tcW w:w="201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732"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142" w:type="dxa"/>
            <w:gridSpan w:val="3"/>
            <w:vMerge w:val="continue"/>
            <w:tcBorders>
              <w:left w:val="single" w:color="auto" w:sz="4" w:space="0"/>
              <w:bottom w:val="single" w:color="auto" w:sz="4" w:space="0"/>
              <w:right w:val="single" w:color="auto" w:sz="4" w:space="0"/>
            </w:tcBorders>
            <w:vAlign w:val="center"/>
          </w:tcPr>
          <w:p>
            <w:pPr>
              <w:jc w:val="center"/>
              <w:rPr>
                <w:szCs w:val="21"/>
              </w:rPr>
            </w:pPr>
          </w:p>
        </w:tc>
        <w:tc>
          <w:tcPr>
            <w:tcW w:w="2248" w:type="dxa"/>
            <w:gridSpan w:val="2"/>
            <w:vMerge w:val="continue"/>
            <w:tcBorders>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18" w:hRule="atLeast"/>
          <w:jc w:val="center"/>
        </w:trPr>
        <w:tc>
          <w:tcPr>
            <w:tcW w:w="1938" w:type="dxa"/>
            <w:tcBorders>
              <w:top w:val="single" w:color="auto" w:sz="4" w:space="0"/>
              <w:left w:val="single" w:color="auto" w:sz="4" w:space="0"/>
              <w:right w:val="single" w:color="auto" w:sz="4" w:space="0"/>
            </w:tcBorders>
            <w:vAlign w:val="center"/>
          </w:tcPr>
          <w:p>
            <w:pPr>
              <w:topLinePunct/>
              <w:spacing w:line="440" w:lineRule="exact"/>
              <w:jc w:val="center"/>
              <w:rPr>
                <w:szCs w:val="21"/>
              </w:rPr>
            </w:pPr>
            <w:r>
              <w:rPr>
                <w:szCs w:val="21"/>
              </w:rPr>
              <w:t>经营范围</w:t>
            </w:r>
          </w:p>
        </w:tc>
        <w:tc>
          <w:tcPr>
            <w:tcW w:w="7134" w:type="dxa"/>
            <w:gridSpan w:val="8"/>
            <w:tcBorders>
              <w:top w:val="single" w:color="auto" w:sz="4" w:space="0"/>
              <w:left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43" w:hRule="atLeast"/>
          <w:jc w:val="center"/>
        </w:trPr>
        <w:tc>
          <w:tcPr>
            <w:tcW w:w="1938" w:type="dxa"/>
            <w:tcBorders>
              <w:top w:val="single" w:color="auto" w:sz="4" w:space="0"/>
              <w:left w:val="single" w:color="auto" w:sz="4" w:space="0"/>
              <w:right w:val="single" w:color="auto" w:sz="4" w:space="0"/>
            </w:tcBorders>
            <w:vAlign w:val="center"/>
          </w:tcPr>
          <w:p>
            <w:pPr>
              <w:topLinePunct/>
              <w:spacing w:line="300" w:lineRule="exact"/>
              <w:ind w:firstLine="210" w:firstLineChars="100"/>
              <w:jc w:val="center"/>
              <w:rPr>
                <w:szCs w:val="21"/>
              </w:rPr>
            </w:pPr>
            <w:r>
              <w:rPr>
                <w:szCs w:val="21"/>
              </w:rPr>
              <w:t>资产构成情况及投资参股的关联企业情况</w:t>
            </w:r>
          </w:p>
        </w:tc>
        <w:tc>
          <w:tcPr>
            <w:tcW w:w="7134" w:type="dxa"/>
            <w:gridSpan w:val="8"/>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5" w:hRule="atLeast"/>
          <w:jc w:val="center"/>
        </w:trPr>
        <w:tc>
          <w:tcPr>
            <w:tcW w:w="193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备注</w:t>
            </w:r>
          </w:p>
        </w:tc>
        <w:tc>
          <w:tcPr>
            <w:tcW w:w="7134"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bl>
    <w:p>
      <w:pPr>
        <w:tabs>
          <w:tab w:val="left" w:pos="720"/>
        </w:tabs>
        <w:spacing w:line="500" w:lineRule="exact"/>
        <w:rPr>
          <w:rFonts w:eastAsia="仿宋"/>
          <w:szCs w:val="21"/>
        </w:rPr>
      </w:pPr>
      <w:r>
        <w:rPr>
          <w:rFonts w:eastAsia="仿宋"/>
          <w:szCs w:val="21"/>
        </w:rPr>
        <w:t>备注：本表后附营业执照、资质证书等资料复印件</w:t>
      </w:r>
    </w:p>
    <w:p>
      <w:pPr>
        <w:tabs>
          <w:tab w:val="left" w:pos="720"/>
        </w:tabs>
        <w:spacing w:line="500" w:lineRule="exact"/>
        <w:rPr>
          <w:rFonts w:eastAsiaTheme="minorEastAsia"/>
          <w:szCs w:val="21"/>
        </w:rPr>
      </w:pPr>
      <w:r>
        <w:rPr>
          <w:rFonts w:hint="eastAsia" w:eastAsiaTheme="minorEastAsia"/>
          <w:szCs w:val="21"/>
        </w:rPr>
        <w:t>响应人</w:t>
      </w:r>
      <w:r>
        <w:rPr>
          <w:rFonts w:eastAsiaTheme="minorEastAsia"/>
          <w:szCs w:val="21"/>
        </w:rPr>
        <w:t>：（盖章）</w:t>
      </w:r>
    </w:p>
    <w:p>
      <w:pPr>
        <w:tabs>
          <w:tab w:val="left" w:pos="720"/>
        </w:tabs>
        <w:spacing w:line="500" w:lineRule="exact"/>
        <w:rPr>
          <w:rFonts w:eastAsiaTheme="minorEastAsia"/>
          <w:szCs w:val="21"/>
        </w:rPr>
      </w:pPr>
      <w:r>
        <w:rPr>
          <w:rFonts w:eastAsiaTheme="minorEastAsia"/>
          <w:szCs w:val="21"/>
        </w:rPr>
        <w:t>法定代表人：（签字或盖章）</w:t>
      </w:r>
    </w:p>
    <w:p>
      <w:pPr>
        <w:jc w:val="center"/>
        <w:rPr>
          <w:rFonts w:eastAsiaTheme="minorEastAsia"/>
          <w:szCs w:val="21"/>
        </w:rPr>
      </w:pPr>
    </w:p>
    <w:p>
      <w:pPr>
        <w:jc w:val="center"/>
        <w:rPr>
          <w:rFonts w:eastAsiaTheme="minorEastAsia"/>
          <w:szCs w:val="21"/>
        </w:rPr>
      </w:pPr>
    </w:p>
    <w:p>
      <w:pPr>
        <w:rPr>
          <w:rFonts w:eastAsiaTheme="minorEastAsia"/>
          <w:szCs w:val="21"/>
        </w:rPr>
      </w:pPr>
      <w:r>
        <w:rPr>
          <w:rFonts w:eastAsiaTheme="minorEastAsia"/>
          <w:szCs w:val="21"/>
        </w:rPr>
        <w:t>日期：</w:t>
      </w:r>
      <w:r>
        <w:rPr>
          <w:rFonts w:eastAsiaTheme="minorEastAsia"/>
          <w:szCs w:val="21"/>
          <w:u w:val="single"/>
        </w:rPr>
        <w:t xml:space="preserve">          </w:t>
      </w:r>
      <w:r>
        <w:rPr>
          <w:rFonts w:eastAsiaTheme="minorEastAsia"/>
          <w:szCs w:val="21"/>
        </w:rPr>
        <w:t>年</w:t>
      </w:r>
      <w:r>
        <w:rPr>
          <w:rFonts w:eastAsiaTheme="minorEastAsia"/>
          <w:szCs w:val="21"/>
          <w:u w:val="single"/>
        </w:rPr>
        <w:t xml:space="preserve">          </w:t>
      </w:r>
      <w:r>
        <w:rPr>
          <w:rFonts w:eastAsiaTheme="minorEastAsia"/>
          <w:szCs w:val="21"/>
        </w:rPr>
        <w:t>月</w:t>
      </w:r>
      <w:r>
        <w:rPr>
          <w:rFonts w:eastAsiaTheme="minorEastAsia"/>
          <w:szCs w:val="21"/>
          <w:u w:val="single"/>
        </w:rPr>
        <w:t xml:space="preserve">       </w:t>
      </w:r>
      <w:r>
        <w:rPr>
          <w:rFonts w:eastAsiaTheme="minorEastAsia"/>
          <w:szCs w:val="21"/>
        </w:rPr>
        <w:t xml:space="preserve"> 日</w:t>
      </w:r>
    </w:p>
    <w:p>
      <w:pPr>
        <w:spacing w:line="500" w:lineRule="exact"/>
        <w:rPr>
          <w:sz w:val="32"/>
          <w:szCs w:val="32"/>
        </w:rPr>
      </w:pPr>
    </w:p>
    <w:p>
      <w:pPr>
        <w:spacing w:after="240" w:line="540" w:lineRule="exact"/>
        <w:rPr>
          <w:rFonts w:eastAsia="黑体"/>
          <w:sz w:val="28"/>
        </w:rPr>
      </w:pPr>
      <w:bookmarkStart w:id="17" w:name="_Toc447808707"/>
    </w:p>
    <w:p>
      <w:pPr>
        <w:rPr>
          <w:rFonts w:eastAsia="黑体"/>
          <w:sz w:val="28"/>
        </w:rPr>
      </w:pPr>
      <w:r>
        <w:rPr>
          <w:rFonts w:eastAsia="黑体"/>
          <w:sz w:val="28"/>
        </w:rPr>
        <w:br w:type="page"/>
      </w:r>
    </w:p>
    <w:p>
      <w:pPr>
        <w:spacing w:after="240" w:line="540" w:lineRule="exact"/>
        <w:ind w:left="357" w:leftChars="170" w:firstLine="1"/>
        <w:jc w:val="center"/>
      </w:pPr>
      <w:r>
        <w:rPr>
          <w:rFonts w:hint="eastAsia" w:eastAsia="黑体"/>
          <w:sz w:val="28"/>
        </w:rPr>
        <w:t>四、</w:t>
      </w:r>
      <w:r>
        <w:rPr>
          <w:rFonts w:eastAsia="黑体"/>
          <w:sz w:val="28"/>
        </w:rPr>
        <w:t>近三年完成的类似项目情况表</w:t>
      </w:r>
      <w:bookmarkEnd w:id="17"/>
    </w:p>
    <w:tbl>
      <w:tblPr>
        <w:tblStyle w:val="61"/>
        <w:tblW w:w="90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7"/>
        <w:gridCol w:w="6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417" w:type="dxa"/>
            <w:vAlign w:val="center"/>
          </w:tcPr>
          <w:p>
            <w:pPr>
              <w:topLinePunct/>
              <w:spacing w:line="440" w:lineRule="exact"/>
              <w:jc w:val="center"/>
              <w:rPr>
                <w:szCs w:val="21"/>
              </w:rPr>
            </w:pPr>
            <w:r>
              <w:rPr>
                <w:szCs w:val="21"/>
              </w:rPr>
              <w:t>项目名称</w:t>
            </w:r>
          </w:p>
        </w:tc>
        <w:tc>
          <w:tcPr>
            <w:tcW w:w="6655"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2417" w:type="dxa"/>
            <w:vAlign w:val="center"/>
          </w:tcPr>
          <w:p>
            <w:pPr>
              <w:topLinePunct/>
              <w:spacing w:line="440" w:lineRule="exact"/>
              <w:jc w:val="center"/>
              <w:rPr>
                <w:szCs w:val="21"/>
              </w:rPr>
            </w:pPr>
            <w:r>
              <w:rPr>
                <w:szCs w:val="21"/>
              </w:rPr>
              <w:t>项目所在地</w:t>
            </w:r>
          </w:p>
        </w:tc>
        <w:tc>
          <w:tcPr>
            <w:tcW w:w="6655"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2417" w:type="dxa"/>
            <w:vAlign w:val="center"/>
          </w:tcPr>
          <w:p>
            <w:pPr>
              <w:topLinePunct/>
              <w:spacing w:line="440" w:lineRule="exact"/>
              <w:jc w:val="center"/>
              <w:rPr>
                <w:szCs w:val="21"/>
              </w:rPr>
            </w:pPr>
            <w:r>
              <w:rPr>
                <w:szCs w:val="21"/>
              </w:rPr>
              <w:t>项目造价</w:t>
            </w:r>
          </w:p>
        </w:tc>
        <w:tc>
          <w:tcPr>
            <w:tcW w:w="6655"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2417" w:type="dxa"/>
            <w:vAlign w:val="center"/>
          </w:tcPr>
          <w:p>
            <w:pPr>
              <w:topLinePunct/>
              <w:spacing w:line="440" w:lineRule="exact"/>
              <w:jc w:val="center"/>
              <w:rPr>
                <w:szCs w:val="21"/>
              </w:rPr>
            </w:pPr>
            <w:r>
              <w:rPr>
                <w:szCs w:val="21"/>
              </w:rPr>
              <w:t>发包人名称</w:t>
            </w:r>
          </w:p>
        </w:tc>
        <w:tc>
          <w:tcPr>
            <w:tcW w:w="6655"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2417" w:type="dxa"/>
            <w:vAlign w:val="center"/>
          </w:tcPr>
          <w:p>
            <w:pPr>
              <w:topLinePunct/>
              <w:spacing w:line="440" w:lineRule="exact"/>
              <w:jc w:val="center"/>
              <w:rPr>
                <w:szCs w:val="21"/>
              </w:rPr>
            </w:pPr>
            <w:r>
              <w:rPr>
                <w:szCs w:val="21"/>
              </w:rPr>
              <w:t>发包人地址</w:t>
            </w:r>
          </w:p>
        </w:tc>
        <w:tc>
          <w:tcPr>
            <w:tcW w:w="6655"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2417" w:type="dxa"/>
            <w:vAlign w:val="center"/>
          </w:tcPr>
          <w:p>
            <w:pPr>
              <w:topLinePunct/>
              <w:spacing w:line="440" w:lineRule="exact"/>
              <w:jc w:val="center"/>
              <w:rPr>
                <w:szCs w:val="21"/>
              </w:rPr>
            </w:pPr>
            <w:r>
              <w:rPr>
                <w:szCs w:val="21"/>
              </w:rPr>
              <w:t>发包人电话</w:t>
            </w:r>
          </w:p>
        </w:tc>
        <w:tc>
          <w:tcPr>
            <w:tcW w:w="6655"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2417" w:type="dxa"/>
            <w:vAlign w:val="center"/>
          </w:tcPr>
          <w:p>
            <w:pPr>
              <w:topLinePunct/>
              <w:spacing w:line="440" w:lineRule="exact"/>
              <w:jc w:val="center"/>
              <w:rPr>
                <w:szCs w:val="21"/>
              </w:rPr>
            </w:pPr>
            <w:r>
              <w:rPr>
                <w:szCs w:val="21"/>
              </w:rPr>
              <w:t>开工日期</w:t>
            </w:r>
          </w:p>
        </w:tc>
        <w:tc>
          <w:tcPr>
            <w:tcW w:w="6655"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jc w:val="center"/>
        </w:trPr>
        <w:tc>
          <w:tcPr>
            <w:tcW w:w="2417" w:type="dxa"/>
            <w:vAlign w:val="center"/>
          </w:tcPr>
          <w:p>
            <w:pPr>
              <w:topLinePunct/>
              <w:spacing w:line="440" w:lineRule="exact"/>
              <w:jc w:val="center"/>
              <w:rPr>
                <w:szCs w:val="21"/>
              </w:rPr>
            </w:pPr>
            <w:r>
              <w:rPr>
                <w:szCs w:val="21"/>
              </w:rPr>
              <w:t>竣工日期</w:t>
            </w:r>
          </w:p>
        </w:tc>
        <w:tc>
          <w:tcPr>
            <w:tcW w:w="6655"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2417" w:type="dxa"/>
            <w:vAlign w:val="center"/>
          </w:tcPr>
          <w:p>
            <w:pPr>
              <w:topLinePunct/>
              <w:spacing w:line="440" w:lineRule="exact"/>
              <w:jc w:val="center"/>
              <w:rPr>
                <w:szCs w:val="21"/>
              </w:rPr>
            </w:pPr>
            <w:r>
              <w:rPr>
                <w:szCs w:val="21"/>
              </w:rPr>
              <w:t>承担的工作</w:t>
            </w:r>
          </w:p>
        </w:tc>
        <w:tc>
          <w:tcPr>
            <w:tcW w:w="6655"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2417" w:type="dxa"/>
            <w:vAlign w:val="center"/>
          </w:tcPr>
          <w:p>
            <w:pPr>
              <w:pStyle w:val="50"/>
              <w:topLinePunct/>
            </w:pPr>
            <w:r>
              <w:t>服务质量</w:t>
            </w:r>
          </w:p>
        </w:tc>
        <w:tc>
          <w:tcPr>
            <w:tcW w:w="6655"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jc w:val="center"/>
        </w:trPr>
        <w:tc>
          <w:tcPr>
            <w:tcW w:w="2417" w:type="dxa"/>
            <w:vAlign w:val="center"/>
          </w:tcPr>
          <w:p>
            <w:pPr>
              <w:topLinePunct/>
              <w:spacing w:line="440" w:lineRule="exact"/>
              <w:jc w:val="center"/>
              <w:rPr>
                <w:szCs w:val="21"/>
              </w:rPr>
            </w:pPr>
            <w:r>
              <w:rPr>
                <w:szCs w:val="21"/>
              </w:rPr>
              <w:t>项目负责人</w:t>
            </w:r>
          </w:p>
        </w:tc>
        <w:tc>
          <w:tcPr>
            <w:tcW w:w="6655"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2417" w:type="dxa"/>
            <w:vAlign w:val="center"/>
          </w:tcPr>
          <w:p>
            <w:pPr>
              <w:topLinePunct/>
              <w:spacing w:line="440" w:lineRule="exact"/>
              <w:jc w:val="center"/>
              <w:rPr>
                <w:szCs w:val="21"/>
              </w:rPr>
            </w:pPr>
            <w:r>
              <w:rPr>
                <w:szCs w:val="21"/>
              </w:rPr>
              <w:t>成果描述</w:t>
            </w:r>
          </w:p>
        </w:tc>
        <w:tc>
          <w:tcPr>
            <w:tcW w:w="6655"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2417" w:type="dxa"/>
            <w:vAlign w:val="center"/>
          </w:tcPr>
          <w:p>
            <w:pPr>
              <w:topLinePunct/>
              <w:spacing w:line="440" w:lineRule="exact"/>
              <w:jc w:val="center"/>
              <w:rPr>
                <w:szCs w:val="21"/>
              </w:rPr>
            </w:pPr>
            <w:r>
              <w:rPr>
                <w:szCs w:val="21"/>
              </w:rPr>
              <w:t>备注</w:t>
            </w:r>
          </w:p>
        </w:tc>
        <w:tc>
          <w:tcPr>
            <w:tcW w:w="6655" w:type="dxa"/>
          </w:tcPr>
          <w:p>
            <w:pPr>
              <w:topLinePunct/>
              <w:spacing w:line="440" w:lineRule="exact"/>
              <w:rPr>
                <w:szCs w:val="21"/>
              </w:rPr>
            </w:pPr>
          </w:p>
        </w:tc>
      </w:tr>
    </w:tbl>
    <w:p>
      <w:pPr>
        <w:spacing w:line="340" w:lineRule="exact"/>
        <w:ind w:right="111" w:rightChars="53"/>
        <w:jc w:val="left"/>
        <w:rPr>
          <w:rFonts w:eastAsiaTheme="minorEastAsia"/>
          <w:szCs w:val="21"/>
        </w:rPr>
      </w:pPr>
    </w:p>
    <w:p>
      <w:pPr>
        <w:spacing w:line="360" w:lineRule="auto"/>
        <w:ind w:right="111" w:rightChars="53"/>
        <w:jc w:val="left"/>
        <w:rPr>
          <w:rFonts w:eastAsia="仿宋"/>
          <w:szCs w:val="21"/>
        </w:rPr>
      </w:pPr>
      <w:r>
        <w:rPr>
          <w:rFonts w:eastAsia="仿宋"/>
          <w:szCs w:val="21"/>
        </w:rPr>
        <w:t>注：1.每张表只填写一个项目，并表明序号；</w:t>
      </w:r>
    </w:p>
    <w:p>
      <w:pPr>
        <w:spacing w:line="360" w:lineRule="auto"/>
        <w:ind w:right="111" w:rightChars="53" w:firstLine="420" w:firstLineChars="200"/>
        <w:jc w:val="left"/>
        <w:rPr>
          <w:rFonts w:eastAsia="仿宋"/>
          <w:bCs/>
          <w:szCs w:val="21"/>
        </w:rPr>
      </w:pPr>
      <w:r>
        <w:rPr>
          <w:rFonts w:eastAsia="仿宋"/>
          <w:szCs w:val="21"/>
        </w:rPr>
        <w:t>2.本表后应附与委托方签订的</w:t>
      </w:r>
      <w:r>
        <w:rPr>
          <w:rFonts w:hint="eastAsia" w:hAnsi="宋体" w:cs="宋体"/>
          <w:bCs/>
          <w:szCs w:val="21"/>
        </w:rPr>
        <w:t>①</w:t>
      </w:r>
      <w:r>
        <w:rPr>
          <w:rFonts w:eastAsia="仿宋"/>
          <w:bCs/>
          <w:szCs w:val="21"/>
        </w:rPr>
        <w:t>同委托方签订的合同协议书</w:t>
      </w:r>
      <w:r>
        <w:rPr>
          <w:rFonts w:hint="eastAsia" w:hAnsi="宋体" w:cs="宋体"/>
          <w:bCs/>
          <w:szCs w:val="21"/>
        </w:rPr>
        <w:t>②</w:t>
      </w:r>
      <w:r>
        <w:rPr>
          <w:rFonts w:eastAsia="仿宋"/>
          <w:bCs/>
          <w:szCs w:val="21"/>
        </w:rPr>
        <w:t>相应造价咨询成果资料（清单及控制价编制提供清单控制价封面）</w:t>
      </w:r>
      <w:r>
        <w:rPr>
          <w:rFonts w:hint="eastAsia" w:eastAsia="仿宋"/>
          <w:bCs/>
          <w:szCs w:val="21"/>
        </w:rPr>
        <w:t>，具体要求见评标办法；</w:t>
      </w:r>
    </w:p>
    <w:p>
      <w:pPr>
        <w:spacing w:line="360" w:lineRule="auto"/>
        <w:ind w:right="111" w:rightChars="53" w:firstLine="420" w:firstLineChars="200"/>
        <w:jc w:val="left"/>
        <w:rPr>
          <w:rFonts w:eastAsia="仿宋"/>
          <w:szCs w:val="21"/>
        </w:rPr>
      </w:pPr>
      <w:r>
        <w:rPr>
          <w:rFonts w:eastAsia="仿宋"/>
          <w:szCs w:val="21"/>
        </w:rPr>
        <w:t>3.如近年来，</w:t>
      </w:r>
      <w:r>
        <w:rPr>
          <w:rFonts w:hint="eastAsia" w:eastAsia="仿宋"/>
          <w:szCs w:val="21"/>
        </w:rPr>
        <w:t>响应人</w:t>
      </w:r>
      <w:r>
        <w:rPr>
          <w:rFonts w:eastAsia="仿宋"/>
          <w:szCs w:val="21"/>
        </w:rPr>
        <w:t>法人机构发生合法变更或重组或法人名称变更时，应提供相关部门的合法批件或其他相关证明材料来证明其所附业绩的继承性。</w:t>
      </w:r>
    </w:p>
    <w:p>
      <w:pPr>
        <w:spacing w:line="360" w:lineRule="auto"/>
        <w:ind w:right="111" w:rightChars="53"/>
        <w:jc w:val="left"/>
        <w:rPr>
          <w:rFonts w:eastAsia="仿宋"/>
          <w:szCs w:val="21"/>
        </w:rPr>
      </w:pPr>
    </w:p>
    <w:p>
      <w:pPr>
        <w:spacing w:line="360" w:lineRule="auto"/>
        <w:jc w:val="left"/>
        <w:rPr>
          <w:rFonts w:eastAsiaTheme="minorEastAsia"/>
          <w:szCs w:val="21"/>
        </w:rPr>
      </w:pPr>
    </w:p>
    <w:p>
      <w:pPr>
        <w:spacing w:line="360" w:lineRule="auto"/>
        <w:jc w:val="left"/>
        <w:rPr>
          <w:rFonts w:eastAsiaTheme="minorEastAsia"/>
          <w:szCs w:val="21"/>
        </w:rPr>
      </w:pPr>
    </w:p>
    <w:p>
      <w:pPr>
        <w:spacing w:line="360" w:lineRule="auto"/>
        <w:jc w:val="left"/>
        <w:rPr>
          <w:rFonts w:eastAsiaTheme="minorEastAsia"/>
          <w:szCs w:val="21"/>
        </w:rPr>
      </w:pPr>
    </w:p>
    <w:p>
      <w:pPr>
        <w:keepNext/>
        <w:keepLines/>
        <w:adjustRightInd w:val="0"/>
        <w:snapToGrid w:val="0"/>
        <w:spacing w:after="260"/>
        <w:outlineLvl w:val="2"/>
        <w:rPr>
          <w:rFonts w:eastAsia="黑体"/>
          <w:bCs/>
          <w:sz w:val="28"/>
          <w:szCs w:val="32"/>
        </w:rPr>
      </w:pPr>
      <w:bookmarkStart w:id="18" w:name="_Toc447808705"/>
      <w:bookmarkStart w:id="19" w:name="_Toc457482592"/>
    </w:p>
    <w:p>
      <w:pPr>
        <w:keepNext/>
        <w:keepLines/>
        <w:adjustRightInd w:val="0"/>
        <w:snapToGrid w:val="0"/>
        <w:spacing w:after="260"/>
        <w:jc w:val="center"/>
        <w:outlineLvl w:val="2"/>
        <w:rPr>
          <w:b/>
          <w:bCs/>
          <w:sz w:val="32"/>
          <w:szCs w:val="32"/>
        </w:rPr>
      </w:pPr>
      <w:r>
        <w:rPr>
          <w:rFonts w:hint="eastAsia" w:eastAsia="黑体"/>
          <w:bCs/>
          <w:sz w:val="28"/>
          <w:szCs w:val="32"/>
        </w:rPr>
        <w:t>五、</w:t>
      </w:r>
      <w:r>
        <w:rPr>
          <w:rFonts w:eastAsia="黑体"/>
          <w:bCs/>
          <w:sz w:val="28"/>
          <w:szCs w:val="32"/>
        </w:rPr>
        <w:t>拟委任的</w:t>
      </w:r>
      <w:r>
        <w:rPr>
          <w:rFonts w:hint="eastAsia" w:eastAsia="黑体"/>
          <w:bCs/>
          <w:sz w:val="28"/>
          <w:szCs w:val="32"/>
        </w:rPr>
        <w:t>项目负责人</w:t>
      </w:r>
      <w:r>
        <w:rPr>
          <w:rFonts w:eastAsia="黑体"/>
          <w:bCs/>
          <w:sz w:val="28"/>
          <w:szCs w:val="32"/>
        </w:rPr>
        <w:t>资历表</w:t>
      </w:r>
      <w:bookmarkEnd w:id="18"/>
      <w:bookmarkEnd w:id="19"/>
    </w:p>
    <w:tbl>
      <w:tblPr>
        <w:tblStyle w:val="61"/>
        <w:tblW w:w="90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363"/>
        <w:gridCol w:w="1074"/>
        <w:gridCol w:w="638"/>
        <w:gridCol w:w="638"/>
        <w:gridCol w:w="367"/>
        <w:gridCol w:w="2268"/>
        <w:gridCol w:w="462"/>
        <w:gridCol w:w="1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2" w:type="dxa"/>
            <w:vAlign w:val="center"/>
          </w:tcPr>
          <w:p>
            <w:pPr>
              <w:spacing w:line="440" w:lineRule="exact"/>
              <w:jc w:val="center"/>
              <w:rPr>
                <w:szCs w:val="21"/>
              </w:rPr>
            </w:pPr>
            <w:r>
              <w:rPr>
                <w:szCs w:val="21"/>
              </w:rPr>
              <w:t>姓  名</w:t>
            </w:r>
          </w:p>
        </w:tc>
        <w:tc>
          <w:tcPr>
            <w:tcW w:w="1437" w:type="dxa"/>
            <w:gridSpan w:val="2"/>
            <w:vAlign w:val="center"/>
          </w:tcPr>
          <w:p>
            <w:pPr>
              <w:spacing w:line="440" w:lineRule="exact"/>
              <w:jc w:val="center"/>
              <w:rPr>
                <w:szCs w:val="21"/>
              </w:rPr>
            </w:pPr>
          </w:p>
        </w:tc>
        <w:tc>
          <w:tcPr>
            <w:tcW w:w="1276" w:type="dxa"/>
            <w:gridSpan w:val="2"/>
            <w:vAlign w:val="center"/>
          </w:tcPr>
          <w:p>
            <w:pPr>
              <w:spacing w:line="440" w:lineRule="exact"/>
              <w:jc w:val="center"/>
              <w:rPr>
                <w:szCs w:val="21"/>
              </w:rPr>
            </w:pPr>
            <w:r>
              <w:rPr>
                <w:szCs w:val="21"/>
              </w:rPr>
              <w:t>年 龄</w:t>
            </w:r>
          </w:p>
        </w:tc>
        <w:tc>
          <w:tcPr>
            <w:tcW w:w="367" w:type="dxa"/>
            <w:vAlign w:val="center"/>
          </w:tcPr>
          <w:p>
            <w:pPr>
              <w:spacing w:line="440" w:lineRule="exact"/>
              <w:jc w:val="center"/>
              <w:rPr>
                <w:szCs w:val="21"/>
              </w:rPr>
            </w:pPr>
          </w:p>
        </w:tc>
        <w:tc>
          <w:tcPr>
            <w:tcW w:w="2730" w:type="dxa"/>
            <w:gridSpan w:val="2"/>
            <w:vAlign w:val="center"/>
          </w:tcPr>
          <w:p>
            <w:pPr>
              <w:spacing w:line="440" w:lineRule="exact"/>
              <w:jc w:val="center"/>
              <w:rPr>
                <w:szCs w:val="21"/>
              </w:rPr>
            </w:pPr>
            <w:r>
              <w:rPr>
                <w:szCs w:val="21"/>
              </w:rPr>
              <w:t>学 历</w:t>
            </w:r>
          </w:p>
        </w:tc>
        <w:tc>
          <w:tcPr>
            <w:tcW w:w="1990"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72" w:type="dxa"/>
            <w:vAlign w:val="center"/>
          </w:tcPr>
          <w:p>
            <w:pPr>
              <w:spacing w:line="300" w:lineRule="exact"/>
              <w:jc w:val="center"/>
              <w:rPr>
                <w:szCs w:val="21"/>
              </w:rPr>
            </w:pPr>
            <w:r>
              <w:rPr>
                <w:szCs w:val="21"/>
              </w:rPr>
              <w:t>职  称</w:t>
            </w:r>
          </w:p>
        </w:tc>
        <w:tc>
          <w:tcPr>
            <w:tcW w:w="1437" w:type="dxa"/>
            <w:gridSpan w:val="2"/>
            <w:vAlign w:val="center"/>
          </w:tcPr>
          <w:p>
            <w:pPr>
              <w:spacing w:line="300" w:lineRule="exact"/>
              <w:jc w:val="center"/>
              <w:rPr>
                <w:szCs w:val="21"/>
              </w:rPr>
            </w:pPr>
          </w:p>
        </w:tc>
        <w:tc>
          <w:tcPr>
            <w:tcW w:w="1276" w:type="dxa"/>
            <w:gridSpan w:val="2"/>
            <w:vAlign w:val="center"/>
          </w:tcPr>
          <w:p>
            <w:pPr>
              <w:spacing w:line="300" w:lineRule="exact"/>
              <w:jc w:val="center"/>
              <w:rPr>
                <w:szCs w:val="21"/>
              </w:rPr>
            </w:pPr>
            <w:r>
              <w:rPr>
                <w:szCs w:val="21"/>
              </w:rPr>
              <w:t>公司单位</w:t>
            </w:r>
          </w:p>
          <w:p>
            <w:pPr>
              <w:spacing w:line="300" w:lineRule="exact"/>
              <w:jc w:val="center"/>
              <w:rPr>
                <w:szCs w:val="21"/>
              </w:rPr>
            </w:pPr>
            <w:r>
              <w:rPr>
                <w:szCs w:val="21"/>
              </w:rPr>
              <w:t>职    务</w:t>
            </w:r>
          </w:p>
        </w:tc>
        <w:tc>
          <w:tcPr>
            <w:tcW w:w="367" w:type="dxa"/>
            <w:vAlign w:val="center"/>
          </w:tcPr>
          <w:p>
            <w:pPr>
              <w:spacing w:line="300" w:lineRule="exact"/>
              <w:jc w:val="center"/>
              <w:rPr>
                <w:szCs w:val="21"/>
              </w:rPr>
            </w:pPr>
          </w:p>
        </w:tc>
        <w:tc>
          <w:tcPr>
            <w:tcW w:w="2730" w:type="dxa"/>
            <w:gridSpan w:val="2"/>
            <w:vAlign w:val="center"/>
          </w:tcPr>
          <w:p>
            <w:pPr>
              <w:spacing w:line="300" w:lineRule="exact"/>
              <w:jc w:val="center"/>
              <w:rPr>
                <w:szCs w:val="21"/>
              </w:rPr>
            </w:pPr>
            <w:r>
              <w:rPr>
                <w:szCs w:val="21"/>
              </w:rPr>
              <w:t>拟在本项目担任职务</w:t>
            </w:r>
          </w:p>
        </w:tc>
        <w:tc>
          <w:tcPr>
            <w:tcW w:w="1990" w:type="dxa"/>
            <w:vAlign w:val="center"/>
          </w:tcPr>
          <w:p>
            <w:pPr>
              <w:spacing w:line="30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2" w:type="dxa"/>
            <w:vAlign w:val="center"/>
          </w:tcPr>
          <w:p>
            <w:pPr>
              <w:spacing w:line="440" w:lineRule="exact"/>
              <w:jc w:val="center"/>
              <w:rPr>
                <w:szCs w:val="21"/>
              </w:rPr>
            </w:pPr>
            <w:r>
              <w:rPr>
                <w:szCs w:val="21"/>
              </w:rPr>
              <w:t>注册造价师证书编号</w:t>
            </w:r>
          </w:p>
        </w:tc>
        <w:tc>
          <w:tcPr>
            <w:tcW w:w="7800" w:type="dxa"/>
            <w:gridSpan w:val="8"/>
          </w:tcPr>
          <w:p>
            <w:pPr>
              <w:spacing w:line="440" w:lineRule="exact"/>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2" w:type="dxa"/>
            <w:vAlign w:val="center"/>
          </w:tcPr>
          <w:p>
            <w:pPr>
              <w:spacing w:line="440" w:lineRule="exact"/>
              <w:jc w:val="center"/>
              <w:rPr>
                <w:szCs w:val="21"/>
              </w:rPr>
            </w:pPr>
            <w:r>
              <w:rPr>
                <w:szCs w:val="21"/>
              </w:rPr>
              <w:t>毕业学校</w:t>
            </w:r>
          </w:p>
        </w:tc>
        <w:tc>
          <w:tcPr>
            <w:tcW w:w="7800" w:type="dxa"/>
            <w:gridSpan w:val="8"/>
          </w:tcPr>
          <w:p>
            <w:pPr>
              <w:spacing w:line="440" w:lineRule="exact"/>
              <w:rPr>
                <w:szCs w:val="21"/>
              </w:rPr>
            </w:pPr>
            <w:r>
              <w:rPr>
                <w:szCs w:val="21"/>
                <w:u w:val="single"/>
              </w:rPr>
              <w:t xml:space="preserve">    </w:t>
            </w:r>
            <w:r>
              <w:rPr>
                <w:szCs w:val="21"/>
              </w:rPr>
              <w:t>年</w:t>
            </w:r>
            <w:r>
              <w:rPr>
                <w:szCs w:val="21"/>
                <w:u w:val="single"/>
              </w:rPr>
              <w:t xml:space="preserve">  </w:t>
            </w:r>
            <w:r>
              <w:rPr>
                <w:szCs w:val="21"/>
              </w:rPr>
              <w:t>月毕业于</w:t>
            </w:r>
            <w:r>
              <w:rPr>
                <w:szCs w:val="21"/>
                <w:u w:val="single"/>
              </w:rPr>
              <w:t xml:space="preserve">            </w:t>
            </w:r>
            <w:r>
              <w:rPr>
                <w:szCs w:val="21"/>
              </w:rPr>
              <w:t>学校</w:t>
            </w:r>
            <w:r>
              <w:rPr>
                <w:szCs w:val="21"/>
                <w:u w:val="single"/>
              </w:rPr>
              <w:t xml:space="preserve">        </w:t>
            </w:r>
            <w:r>
              <w:rPr>
                <w:szCs w:val="21"/>
              </w:rPr>
              <w:t>专业，学制</w:t>
            </w:r>
            <w:r>
              <w:rPr>
                <w:szCs w:val="21"/>
                <w:u w:val="single"/>
              </w:rPr>
              <w:t xml:space="preserve">   </w:t>
            </w:r>
            <w:r>
              <w:rPr>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72" w:type="dxa"/>
            <w:gridSpan w:val="9"/>
            <w:vAlign w:val="center"/>
          </w:tcPr>
          <w:p>
            <w:pPr>
              <w:spacing w:line="440" w:lineRule="exact"/>
              <w:jc w:val="center"/>
              <w:rPr>
                <w:szCs w:val="21"/>
              </w:rPr>
            </w:pPr>
            <w:r>
              <w:rPr>
                <w:szCs w:val="21"/>
              </w:rPr>
              <w:t>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635" w:type="dxa"/>
            <w:gridSpan w:val="2"/>
            <w:vAlign w:val="center"/>
          </w:tcPr>
          <w:p>
            <w:pPr>
              <w:spacing w:line="440" w:lineRule="exact"/>
              <w:rPr>
                <w:szCs w:val="21"/>
              </w:rPr>
            </w:pPr>
            <w:r>
              <w:rPr>
                <w:szCs w:val="21"/>
                <w:u w:val="single"/>
              </w:rPr>
              <w:t xml:space="preserve">   </w:t>
            </w:r>
            <w:r>
              <w:rPr>
                <w:szCs w:val="21"/>
              </w:rPr>
              <w:t>年～</w:t>
            </w:r>
            <w:r>
              <w:rPr>
                <w:szCs w:val="21"/>
                <w:u w:val="single"/>
              </w:rPr>
              <w:t xml:space="preserve">   </w:t>
            </w:r>
            <w:r>
              <w:rPr>
                <w:szCs w:val="21"/>
              </w:rPr>
              <w:t>年</w:t>
            </w:r>
          </w:p>
        </w:tc>
        <w:tc>
          <w:tcPr>
            <w:tcW w:w="2717" w:type="dxa"/>
            <w:gridSpan w:val="4"/>
            <w:vAlign w:val="center"/>
          </w:tcPr>
          <w:p>
            <w:pPr>
              <w:spacing w:line="440" w:lineRule="exact"/>
              <w:jc w:val="center"/>
              <w:rPr>
                <w:szCs w:val="21"/>
              </w:rPr>
            </w:pPr>
            <w:r>
              <w:rPr>
                <w:szCs w:val="21"/>
              </w:rPr>
              <w:t>参加过的项目名称</w:t>
            </w:r>
          </w:p>
        </w:tc>
        <w:tc>
          <w:tcPr>
            <w:tcW w:w="2268" w:type="dxa"/>
            <w:vAlign w:val="center"/>
          </w:tcPr>
          <w:p>
            <w:pPr>
              <w:spacing w:line="440" w:lineRule="exact"/>
              <w:jc w:val="center"/>
              <w:rPr>
                <w:szCs w:val="21"/>
              </w:rPr>
            </w:pPr>
            <w:r>
              <w:rPr>
                <w:szCs w:val="21"/>
              </w:rPr>
              <w:t>项目规模</w:t>
            </w:r>
          </w:p>
        </w:tc>
        <w:tc>
          <w:tcPr>
            <w:tcW w:w="2452" w:type="dxa"/>
            <w:gridSpan w:val="2"/>
            <w:vAlign w:val="center"/>
          </w:tcPr>
          <w:p>
            <w:pPr>
              <w:spacing w:line="440" w:lineRule="exact"/>
              <w:rPr>
                <w:szCs w:val="21"/>
              </w:rPr>
            </w:pPr>
            <w:r>
              <w:rPr>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35" w:type="dxa"/>
            <w:gridSpan w:val="2"/>
          </w:tcPr>
          <w:p>
            <w:pPr>
              <w:spacing w:line="440" w:lineRule="exact"/>
              <w:rPr>
                <w:szCs w:val="21"/>
              </w:rPr>
            </w:pPr>
          </w:p>
        </w:tc>
        <w:tc>
          <w:tcPr>
            <w:tcW w:w="2717" w:type="dxa"/>
            <w:gridSpan w:val="4"/>
          </w:tcPr>
          <w:p>
            <w:pPr>
              <w:spacing w:line="440" w:lineRule="exact"/>
              <w:rPr>
                <w:szCs w:val="21"/>
              </w:rPr>
            </w:pPr>
          </w:p>
        </w:tc>
        <w:tc>
          <w:tcPr>
            <w:tcW w:w="2268" w:type="dxa"/>
          </w:tcPr>
          <w:p>
            <w:pPr>
              <w:spacing w:line="440" w:lineRule="exact"/>
              <w:rPr>
                <w:szCs w:val="21"/>
              </w:rPr>
            </w:pPr>
          </w:p>
        </w:tc>
        <w:tc>
          <w:tcPr>
            <w:tcW w:w="2452" w:type="dxa"/>
            <w:gridSpan w:val="2"/>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35" w:type="dxa"/>
            <w:gridSpan w:val="2"/>
          </w:tcPr>
          <w:p>
            <w:pPr>
              <w:spacing w:line="440" w:lineRule="exact"/>
              <w:rPr>
                <w:rFonts w:eastAsia="黑体"/>
                <w:szCs w:val="21"/>
              </w:rPr>
            </w:pPr>
          </w:p>
        </w:tc>
        <w:tc>
          <w:tcPr>
            <w:tcW w:w="2717" w:type="dxa"/>
            <w:gridSpan w:val="4"/>
          </w:tcPr>
          <w:p>
            <w:pPr>
              <w:tabs>
                <w:tab w:val="right" w:leader="dot" w:pos="8296"/>
              </w:tabs>
              <w:spacing w:line="540" w:lineRule="exact"/>
              <w:jc w:val="center"/>
              <w:rPr>
                <w:rFonts w:eastAsia="黑体"/>
                <w:szCs w:val="21"/>
              </w:rPr>
            </w:pPr>
          </w:p>
        </w:tc>
        <w:tc>
          <w:tcPr>
            <w:tcW w:w="2268" w:type="dxa"/>
          </w:tcPr>
          <w:p>
            <w:pPr>
              <w:tabs>
                <w:tab w:val="right" w:leader="dot" w:pos="8296"/>
              </w:tabs>
              <w:spacing w:line="540" w:lineRule="exact"/>
              <w:jc w:val="center"/>
              <w:rPr>
                <w:rFonts w:eastAsia="黑体"/>
                <w:szCs w:val="21"/>
              </w:rPr>
            </w:pPr>
          </w:p>
        </w:tc>
        <w:tc>
          <w:tcPr>
            <w:tcW w:w="2452"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35" w:type="dxa"/>
            <w:gridSpan w:val="2"/>
          </w:tcPr>
          <w:p>
            <w:pPr>
              <w:spacing w:line="440" w:lineRule="exact"/>
              <w:rPr>
                <w:rFonts w:eastAsia="黑体"/>
                <w:szCs w:val="21"/>
              </w:rPr>
            </w:pPr>
          </w:p>
        </w:tc>
        <w:tc>
          <w:tcPr>
            <w:tcW w:w="2717" w:type="dxa"/>
            <w:gridSpan w:val="4"/>
          </w:tcPr>
          <w:p>
            <w:pPr>
              <w:spacing w:line="440" w:lineRule="exact"/>
              <w:rPr>
                <w:rFonts w:eastAsia="黑体"/>
                <w:szCs w:val="21"/>
              </w:rPr>
            </w:pPr>
          </w:p>
        </w:tc>
        <w:tc>
          <w:tcPr>
            <w:tcW w:w="2268" w:type="dxa"/>
          </w:tcPr>
          <w:p>
            <w:pPr>
              <w:spacing w:line="440" w:lineRule="exact"/>
              <w:rPr>
                <w:rFonts w:eastAsia="黑体"/>
                <w:szCs w:val="21"/>
              </w:rPr>
            </w:pPr>
          </w:p>
        </w:tc>
        <w:tc>
          <w:tcPr>
            <w:tcW w:w="2452"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35" w:type="dxa"/>
            <w:gridSpan w:val="2"/>
            <w:vAlign w:val="center"/>
          </w:tcPr>
          <w:p>
            <w:pPr>
              <w:spacing w:line="440" w:lineRule="exact"/>
              <w:rPr>
                <w:rFonts w:eastAsia="黑体"/>
                <w:szCs w:val="21"/>
              </w:rPr>
            </w:pPr>
          </w:p>
        </w:tc>
        <w:tc>
          <w:tcPr>
            <w:tcW w:w="2717" w:type="dxa"/>
            <w:gridSpan w:val="4"/>
            <w:vAlign w:val="center"/>
          </w:tcPr>
          <w:p>
            <w:pPr>
              <w:spacing w:line="440" w:lineRule="exact"/>
              <w:rPr>
                <w:rFonts w:eastAsia="黑体"/>
                <w:szCs w:val="21"/>
              </w:rPr>
            </w:pPr>
          </w:p>
        </w:tc>
        <w:tc>
          <w:tcPr>
            <w:tcW w:w="2268" w:type="dxa"/>
            <w:vAlign w:val="center"/>
          </w:tcPr>
          <w:p>
            <w:pPr>
              <w:spacing w:line="440" w:lineRule="exact"/>
              <w:rPr>
                <w:rFonts w:eastAsia="黑体"/>
                <w:szCs w:val="21"/>
              </w:rPr>
            </w:pPr>
          </w:p>
        </w:tc>
        <w:tc>
          <w:tcPr>
            <w:tcW w:w="2452" w:type="dxa"/>
            <w:gridSpan w:val="2"/>
            <w:vAlign w:val="center"/>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35" w:type="dxa"/>
            <w:gridSpan w:val="2"/>
            <w:vAlign w:val="center"/>
          </w:tcPr>
          <w:p>
            <w:pPr>
              <w:spacing w:line="440" w:lineRule="exact"/>
              <w:rPr>
                <w:rFonts w:eastAsia="黑体"/>
                <w:szCs w:val="21"/>
              </w:rPr>
            </w:pPr>
          </w:p>
        </w:tc>
        <w:tc>
          <w:tcPr>
            <w:tcW w:w="2717" w:type="dxa"/>
            <w:gridSpan w:val="4"/>
            <w:vAlign w:val="center"/>
          </w:tcPr>
          <w:p>
            <w:pPr>
              <w:spacing w:line="440" w:lineRule="exact"/>
              <w:rPr>
                <w:rFonts w:eastAsia="黑体"/>
                <w:szCs w:val="21"/>
              </w:rPr>
            </w:pPr>
          </w:p>
        </w:tc>
        <w:tc>
          <w:tcPr>
            <w:tcW w:w="2268" w:type="dxa"/>
            <w:vAlign w:val="center"/>
          </w:tcPr>
          <w:p>
            <w:pPr>
              <w:spacing w:line="440" w:lineRule="exact"/>
              <w:rPr>
                <w:rFonts w:eastAsia="黑体"/>
                <w:szCs w:val="21"/>
              </w:rPr>
            </w:pPr>
          </w:p>
        </w:tc>
        <w:tc>
          <w:tcPr>
            <w:tcW w:w="2452" w:type="dxa"/>
            <w:gridSpan w:val="2"/>
            <w:vAlign w:val="center"/>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35" w:type="dxa"/>
            <w:gridSpan w:val="2"/>
            <w:vAlign w:val="center"/>
          </w:tcPr>
          <w:p>
            <w:pPr>
              <w:spacing w:line="440" w:lineRule="exact"/>
              <w:rPr>
                <w:rFonts w:eastAsia="黑体"/>
                <w:szCs w:val="21"/>
              </w:rPr>
            </w:pPr>
          </w:p>
        </w:tc>
        <w:tc>
          <w:tcPr>
            <w:tcW w:w="2717" w:type="dxa"/>
            <w:gridSpan w:val="4"/>
            <w:vAlign w:val="center"/>
          </w:tcPr>
          <w:p>
            <w:pPr>
              <w:spacing w:line="440" w:lineRule="exact"/>
              <w:rPr>
                <w:rFonts w:eastAsia="黑体"/>
                <w:szCs w:val="21"/>
              </w:rPr>
            </w:pPr>
          </w:p>
        </w:tc>
        <w:tc>
          <w:tcPr>
            <w:tcW w:w="2268" w:type="dxa"/>
            <w:vAlign w:val="center"/>
          </w:tcPr>
          <w:p>
            <w:pPr>
              <w:spacing w:line="440" w:lineRule="exact"/>
              <w:rPr>
                <w:rFonts w:eastAsia="黑体"/>
                <w:szCs w:val="21"/>
              </w:rPr>
            </w:pPr>
          </w:p>
        </w:tc>
        <w:tc>
          <w:tcPr>
            <w:tcW w:w="2452" w:type="dxa"/>
            <w:gridSpan w:val="2"/>
            <w:vAlign w:val="center"/>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35" w:type="dxa"/>
            <w:gridSpan w:val="2"/>
            <w:vAlign w:val="center"/>
          </w:tcPr>
          <w:p>
            <w:pPr>
              <w:spacing w:line="440" w:lineRule="exact"/>
              <w:rPr>
                <w:rFonts w:eastAsia="黑体"/>
                <w:szCs w:val="21"/>
              </w:rPr>
            </w:pPr>
          </w:p>
        </w:tc>
        <w:tc>
          <w:tcPr>
            <w:tcW w:w="2717" w:type="dxa"/>
            <w:gridSpan w:val="4"/>
            <w:vAlign w:val="center"/>
          </w:tcPr>
          <w:p>
            <w:pPr>
              <w:spacing w:line="440" w:lineRule="exact"/>
              <w:rPr>
                <w:rFonts w:eastAsia="黑体"/>
                <w:szCs w:val="21"/>
              </w:rPr>
            </w:pPr>
          </w:p>
        </w:tc>
        <w:tc>
          <w:tcPr>
            <w:tcW w:w="2268" w:type="dxa"/>
            <w:vAlign w:val="center"/>
          </w:tcPr>
          <w:p>
            <w:pPr>
              <w:spacing w:line="440" w:lineRule="exact"/>
              <w:rPr>
                <w:rFonts w:eastAsia="黑体"/>
                <w:szCs w:val="21"/>
              </w:rPr>
            </w:pPr>
          </w:p>
        </w:tc>
        <w:tc>
          <w:tcPr>
            <w:tcW w:w="2452" w:type="dxa"/>
            <w:gridSpan w:val="2"/>
            <w:vAlign w:val="center"/>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5" w:hRule="atLeast"/>
          <w:jc w:val="center"/>
        </w:trPr>
        <w:tc>
          <w:tcPr>
            <w:tcW w:w="3347" w:type="dxa"/>
            <w:gridSpan w:val="4"/>
            <w:vAlign w:val="center"/>
          </w:tcPr>
          <w:p>
            <w:pPr>
              <w:spacing w:line="440" w:lineRule="exact"/>
              <w:rPr>
                <w:szCs w:val="21"/>
              </w:rPr>
            </w:pPr>
            <w:r>
              <w:rPr>
                <w:szCs w:val="21"/>
              </w:rPr>
              <w:t>备注</w:t>
            </w:r>
          </w:p>
        </w:tc>
        <w:tc>
          <w:tcPr>
            <w:tcW w:w="5725" w:type="dxa"/>
            <w:gridSpan w:val="5"/>
            <w:vAlign w:val="center"/>
          </w:tcPr>
          <w:p>
            <w:pPr>
              <w:spacing w:line="440" w:lineRule="exact"/>
              <w:rPr>
                <w:szCs w:val="21"/>
              </w:rPr>
            </w:pPr>
          </w:p>
        </w:tc>
      </w:tr>
    </w:tbl>
    <w:p>
      <w:pPr>
        <w:spacing w:line="300" w:lineRule="exact"/>
        <w:ind w:left="281" w:leftChars="67" w:right="111" w:rightChars="53" w:hanging="140" w:hangingChars="67"/>
        <w:rPr>
          <w:rFonts w:eastAsia="仿宋_GB2312"/>
          <w:szCs w:val="18"/>
        </w:rPr>
      </w:pPr>
      <w:r>
        <w:rPr>
          <w:rFonts w:eastAsia="仿宋_GB2312"/>
          <w:szCs w:val="18"/>
        </w:rPr>
        <w:t>注：本表后应附：</w:t>
      </w:r>
    </w:p>
    <w:p>
      <w:pPr>
        <w:spacing w:line="300" w:lineRule="exact"/>
        <w:ind w:left="281" w:leftChars="67" w:right="111" w:rightChars="53" w:hanging="140" w:hangingChars="67"/>
        <w:rPr>
          <w:rFonts w:eastAsia="仿宋_GB2312"/>
          <w:szCs w:val="18"/>
        </w:rPr>
      </w:pPr>
      <w:r>
        <w:rPr>
          <w:rFonts w:eastAsia="仿宋_GB2312"/>
          <w:szCs w:val="18"/>
        </w:rPr>
        <w:t>（1）</w:t>
      </w:r>
      <w:r>
        <w:rPr>
          <w:rFonts w:hint="eastAsia" w:eastAsia="仿宋_GB2312"/>
          <w:szCs w:val="18"/>
        </w:rPr>
        <w:t>响应人</w:t>
      </w:r>
      <w:r>
        <w:rPr>
          <w:rFonts w:eastAsia="仿宋_GB2312"/>
          <w:szCs w:val="18"/>
        </w:rPr>
        <w:t>拟委任的</w:t>
      </w:r>
      <w:r>
        <w:rPr>
          <w:rFonts w:hint="eastAsia" w:eastAsia="仿宋_GB2312"/>
          <w:szCs w:val="18"/>
        </w:rPr>
        <w:t>项目</w:t>
      </w:r>
      <w:r>
        <w:rPr>
          <w:rFonts w:eastAsia="仿宋_GB2312"/>
          <w:szCs w:val="18"/>
        </w:rPr>
        <w:t>负责人注册造价工程师注册证书、职称证书。</w:t>
      </w:r>
    </w:p>
    <w:p>
      <w:pPr>
        <w:spacing w:line="300" w:lineRule="exact"/>
        <w:ind w:left="281" w:leftChars="67" w:right="111" w:rightChars="53" w:hanging="140" w:hangingChars="67"/>
        <w:rPr>
          <w:rFonts w:eastAsia="仿宋_GB2312"/>
          <w:szCs w:val="18"/>
        </w:rPr>
      </w:pPr>
      <w:r>
        <w:rPr>
          <w:rFonts w:eastAsia="仿宋_GB2312"/>
          <w:szCs w:val="18"/>
        </w:rPr>
        <w:t>（2）</w:t>
      </w:r>
      <w:r>
        <w:rPr>
          <w:rFonts w:hint="eastAsia" w:eastAsia="仿宋_GB2312"/>
          <w:szCs w:val="18"/>
        </w:rPr>
        <w:t>响应人</w:t>
      </w:r>
      <w:r>
        <w:rPr>
          <w:rFonts w:eastAsia="仿宋_GB2312"/>
          <w:szCs w:val="18"/>
        </w:rPr>
        <w:t>拟委任的</w:t>
      </w:r>
      <w:r>
        <w:rPr>
          <w:rFonts w:hint="eastAsia" w:eastAsia="仿宋_GB2312"/>
          <w:szCs w:val="18"/>
        </w:rPr>
        <w:t>项目</w:t>
      </w:r>
      <w:r>
        <w:rPr>
          <w:rFonts w:eastAsia="仿宋_GB2312"/>
          <w:szCs w:val="18"/>
        </w:rPr>
        <w:t>负责人的业绩证明材料（合同协议书或者委托方出具的证明材料）、社保缴费信息</w:t>
      </w:r>
      <w:r>
        <w:rPr>
          <w:rFonts w:hint="eastAsia" w:eastAsia="仿宋_GB2312"/>
          <w:szCs w:val="21"/>
        </w:rPr>
        <w:t>,</w:t>
      </w:r>
      <w:r>
        <w:rPr>
          <w:rFonts w:eastAsia="仿宋_GB2312"/>
          <w:szCs w:val="21"/>
        </w:rPr>
        <w:t>并加盖社保机构章</w:t>
      </w:r>
      <w:r>
        <w:rPr>
          <w:rFonts w:eastAsia="仿宋_GB2312"/>
          <w:szCs w:val="18"/>
        </w:rPr>
        <w:t>。</w:t>
      </w:r>
    </w:p>
    <w:p>
      <w:pPr>
        <w:adjustRightInd w:val="0"/>
        <w:snapToGrid w:val="0"/>
        <w:rPr>
          <w:rFonts w:eastAsia="黑体"/>
        </w:rPr>
      </w:pPr>
      <w:r>
        <w:rPr>
          <w:rFonts w:eastAsia="黑体"/>
        </w:rPr>
        <w:br w:type="page"/>
      </w:r>
    </w:p>
    <w:p>
      <w:pPr>
        <w:widowControl/>
        <w:spacing w:after="240"/>
        <w:jc w:val="center"/>
        <w:rPr>
          <w:rFonts w:eastAsia="黑体"/>
          <w:sz w:val="28"/>
        </w:rPr>
      </w:pPr>
      <w:bookmarkStart w:id="20" w:name="_Toc447808711"/>
      <w:r>
        <w:rPr>
          <w:rFonts w:hint="eastAsia" w:eastAsia="黑体"/>
          <w:sz w:val="28"/>
        </w:rPr>
        <w:t>六</w:t>
      </w:r>
      <w:r>
        <w:rPr>
          <w:rFonts w:eastAsia="黑体"/>
          <w:sz w:val="28"/>
        </w:rPr>
        <w:t>、项目管理机构</w:t>
      </w:r>
    </w:p>
    <w:p>
      <w:pPr>
        <w:widowControl/>
        <w:spacing w:after="240"/>
        <w:ind w:firstLine="1680" w:firstLineChars="600"/>
        <w:rPr>
          <w:rFonts w:eastAsia="黑体"/>
          <w:sz w:val="28"/>
          <w:szCs w:val="21"/>
        </w:rPr>
      </w:pPr>
      <w:r>
        <w:rPr>
          <w:rFonts w:eastAsia="黑体"/>
          <w:sz w:val="28"/>
          <w:szCs w:val="21"/>
        </w:rPr>
        <w:t>拟委任的其他主要管理人员和技术人员汇总表</w:t>
      </w:r>
      <w:bookmarkEnd w:id="20"/>
    </w:p>
    <w:tbl>
      <w:tblPr>
        <w:tblStyle w:val="61"/>
        <w:tblW w:w="8907" w:type="dxa"/>
        <w:tblInd w:w="3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719"/>
        <w:gridCol w:w="2905"/>
        <w:gridCol w:w="1223"/>
        <w:gridCol w:w="1336"/>
        <w:gridCol w:w="1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pStyle w:val="50"/>
              <w:spacing w:after="240" w:line="540" w:lineRule="exact"/>
            </w:pPr>
            <w:r>
              <w:t>姓名</w:t>
            </w:r>
          </w:p>
        </w:tc>
        <w:tc>
          <w:tcPr>
            <w:tcW w:w="719" w:type="dxa"/>
          </w:tcPr>
          <w:p>
            <w:pPr>
              <w:spacing w:line="540" w:lineRule="exact"/>
              <w:jc w:val="center"/>
              <w:rPr>
                <w:szCs w:val="21"/>
              </w:rPr>
            </w:pPr>
            <w:r>
              <w:rPr>
                <w:szCs w:val="21"/>
              </w:rPr>
              <w:t>年龄</w:t>
            </w:r>
          </w:p>
        </w:tc>
        <w:tc>
          <w:tcPr>
            <w:tcW w:w="2905" w:type="dxa"/>
          </w:tcPr>
          <w:p>
            <w:pPr>
              <w:spacing w:line="540" w:lineRule="exact"/>
              <w:jc w:val="center"/>
              <w:rPr>
                <w:szCs w:val="21"/>
              </w:rPr>
            </w:pPr>
            <w:r>
              <w:rPr>
                <w:szCs w:val="21"/>
              </w:rPr>
              <w:t>拟在本项目中担任的职务</w:t>
            </w:r>
          </w:p>
        </w:tc>
        <w:tc>
          <w:tcPr>
            <w:tcW w:w="1223" w:type="dxa"/>
          </w:tcPr>
          <w:p>
            <w:pPr>
              <w:spacing w:line="540" w:lineRule="exact"/>
              <w:jc w:val="center"/>
              <w:rPr>
                <w:szCs w:val="21"/>
              </w:rPr>
            </w:pPr>
            <w:r>
              <w:rPr>
                <w:szCs w:val="21"/>
              </w:rPr>
              <w:t>技术职称</w:t>
            </w:r>
          </w:p>
        </w:tc>
        <w:tc>
          <w:tcPr>
            <w:tcW w:w="1336" w:type="dxa"/>
          </w:tcPr>
          <w:p>
            <w:pPr>
              <w:spacing w:line="540" w:lineRule="exact"/>
              <w:jc w:val="center"/>
              <w:rPr>
                <w:szCs w:val="21"/>
              </w:rPr>
            </w:pPr>
            <w:r>
              <w:rPr>
                <w:szCs w:val="21"/>
              </w:rPr>
              <w:t>工作年限</w:t>
            </w:r>
          </w:p>
        </w:tc>
        <w:tc>
          <w:tcPr>
            <w:tcW w:w="1894" w:type="dxa"/>
          </w:tcPr>
          <w:p>
            <w:pPr>
              <w:spacing w:line="540" w:lineRule="exact"/>
              <w:jc w:val="center"/>
              <w:rPr>
                <w:szCs w:val="21"/>
              </w:rPr>
            </w:pPr>
            <w:r>
              <w:rPr>
                <w:szCs w:val="21"/>
              </w:rPr>
              <w:t>类似施工经验年限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spacing w:line="540" w:lineRule="exact"/>
              <w:jc w:val="center"/>
              <w:rPr>
                <w:rFonts w:eastAsia="黑体"/>
                <w:sz w:val="28"/>
                <w:szCs w:val="21"/>
              </w:rPr>
            </w:pPr>
          </w:p>
        </w:tc>
        <w:tc>
          <w:tcPr>
            <w:tcW w:w="719" w:type="dxa"/>
          </w:tcPr>
          <w:p>
            <w:pPr>
              <w:spacing w:line="540" w:lineRule="exact"/>
              <w:jc w:val="center"/>
              <w:rPr>
                <w:rFonts w:eastAsia="黑体"/>
                <w:sz w:val="28"/>
                <w:szCs w:val="21"/>
              </w:rPr>
            </w:pPr>
          </w:p>
        </w:tc>
        <w:tc>
          <w:tcPr>
            <w:tcW w:w="2905" w:type="dxa"/>
          </w:tcPr>
          <w:p>
            <w:pPr>
              <w:spacing w:line="540" w:lineRule="exact"/>
              <w:jc w:val="center"/>
              <w:rPr>
                <w:rFonts w:eastAsia="黑体"/>
                <w:sz w:val="28"/>
                <w:szCs w:val="21"/>
              </w:rPr>
            </w:pPr>
          </w:p>
        </w:tc>
        <w:tc>
          <w:tcPr>
            <w:tcW w:w="1223" w:type="dxa"/>
          </w:tcPr>
          <w:p>
            <w:pPr>
              <w:spacing w:line="540" w:lineRule="exact"/>
              <w:jc w:val="center"/>
              <w:rPr>
                <w:rFonts w:eastAsia="黑体"/>
                <w:sz w:val="28"/>
                <w:szCs w:val="21"/>
              </w:rPr>
            </w:pPr>
          </w:p>
        </w:tc>
        <w:tc>
          <w:tcPr>
            <w:tcW w:w="1336" w:type="dxa"/>
          </w:tcPr>
          <w:p>
            <w:pPr>
              <w:spacing w:line="540" w:lineRule="exact"/>
              <w:jc w:val="center"/>
              <w:rPr>
                <w:rFonts w:eastAsia="黑体"/>
                <w:sz w:val="28"/>
                <w:szCs w:val="21"/>
              </w:rPr>
            </w:pPr>
          </w:p>
        </w:tc>
        <w:tc>
          <w:tcPr>
            <w:tcW w:w="1894" w:type="dxa"/>
          </w:tcPr>
          <w:p>
            <w:pPr>
              <w:spacing w:line="540" w:lineRule="exact"/>
              <w:jc w:val="center"/>
              <w:rPr>
                <w:rFonts w:eastAsia="黑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spacing w:line="540" w:lineRule="exact"/>
              <w:jc w:val="center"/>
              <w:rPr>
                <w:rFonts w:eastAsia="黑体"/>
                <w:sz w:val="28"/>
                <w:szCs w:val="21"/>
              </w:rPr>
            </w:pPr>
          </w:p>
        </w:tc>
        <w:tc>
          <w:tcPr>
            <w:tcW w:w="719" w:type="dxa"/>
          </w:tcPr>
          <w:p>
            <w:pPr>
              <w:spacing w:line="540" w:lineRule="exact"/>
              <w:jc w:val="center"/>
              <w:rPr>
                <w:rFonts w:eastAsia="黑体"/>
                <w:sz w:val="28"/>
                <w:szCs w:val="21"/>
              </w:rPr>
            </w:pPr>
          </w:p>
        </w:tc>
        <w:tc>
          <w:tcPr>
            <w:tcW w:w="2905" w:type="dxa"/>
          </w:tcPr>
          <w:p>
            <w:pPr>
              <w:spacing w:line="540" w:lineRule="exact"/>
              <w:jc w:val="center"/>
              <w:rPr>
                <w:rFonts w:eastAsia="黑体"/>
                <w:sz w:val="28"/>
                <w:szCs w:val="21"/>
              </w:rPr>
            </w:pPr>
          </w:p>
        </w:tc>
        <w:tc>
          <w:tcPr>
            <w:tcW w:w="1223" w:type="dxa"/>
          </w:tcPr>
          <w:p>
            <w:pPr>
              <w:spacing w:line="540" w:lineRule="exact"/>
              <w:jc w:val="center"/>
              <w:rPr>
                <w:rFonts w:eastAsia="黑体"/>
                <w:sz w:val="28"/>
                <w:szCs w:val="21"/>
              </w:rPr>
            </w:pPr>
          </w:p>
        </w:tc>
        <w:tc>
          <w:tcPr>
            <w:tcW w:w="1336" w:type="dxa"/>
          </w:tcPr>
          <w:p>
            <w:pPr>
              <w:spacing w:line="540" w:lineRule="exact"/>
              <w:jc w:val="center"/>
              <w:rPr>
                <w:rFonts w:eastAsia="黑体"/>
                <w:sz w:val="28"/>
                <w:szCs w:val="21"/>
              </w:rPr>
            </w:pPr>
          </w:p>
        </w:tc>
        <w:tc>
          <w:tcPr>
            <w:tcW w:w="1894" w:type="dxa"/>
          </w:tcPr>
          <w:p>
            <w:pPr>
              <w:spacing w:line="540" w:lineRule="exact"/>
              <w:jc w:val="center"/>
              <w:rPr>
                <w:rFonts w:eastAsia="黑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spacing w:line="540" w:lineRule="exact"/>
              <w:jc w:val="center"/>
              <w:rPr>
                <w:rFonts w:eastAsia="黑体"/>
                <w:sz w:val="28"/>
                <w:szCs w:val="21"/>
              </w:rPr>
            </w:pPr>
          </w:p>
        </w:tc>
        <w:tc>
          <w:tcPr>
            <w:tcW w:w="719" w:type="dxa"/>
          </w:tcPr>
          <w:p>
            <w:pPr>
              <w:spacing w:line="540" w:lineRule="exact"/>
              <w:jc w:val="center"/>
              <w:rPr>
                <w:rFonts w:eastAsia="黑体"/>
                <w:sz w:val="28"/>
                <w:szCs w:val="21"/>
              </w:rPr>
            </w:pPr>
          </w:p>
        </w:tc>
        <w:tc>
          <w:tcPr>
            <w:tcW w:w="2905" w:type="dxa"/>
          </w:tcPr>
          <w:p>
            <w:pPr>
              <w:spacing w:line="540" w:lineRule="exact"/>
              <w:jc w:val="center"/>
              <w:rPr>
                <w:rFonts w:eastAsia="黑体"/>
                <w:sz w:val="28"/>
                <w:szCs w:val="21"/>
              </w:rPr>
            </w:pPr>
          </w:p>
        </w:tc>
        <w:tc>
          <w:tcPr>
            <w:tcW w:w="1223" w:type="dxa"/>
          </w:tcPr>
          <w:p>
            <w:pPr>
              <w:spacing w:line="540" w:lineRule="exact"/>
              <w:jc w:val="center"/>
              <w:rPr>
                <w:rFonts w:eastAsia="黑体"/>
                <w:sz w:val="28"/>
                <w:szCs w:val="21"/>
              </w:rPr>
            </w:pPr>
          </w:p>
        </w:tc>
        <w:tc>
          <w:tcPr>
            <w:tcW w:w="1336" w:type="dxa"/>
          </w:tcPr>
          <w:p>
            <w:pPr>
              <w:spacing w:line="540" w:lineRule="exact"/>
              <w:jc w:val="center"/>
              <w:rPr>
                <w:rFonts w:eastAsia="黑体"/>
                <w:sz w:val="28"/>
                <w:szCs w:val="21"/>
              </w:rPr>
            </w:pPr>
          </w:p>
        </w:tc>
        <w:tc>
          <w:tcPr>
            <w:tcW w:w="1894" w:type="dxa"/>
          </w:tcPr>
          <w:p>
            <w:pPr>
              <w:spacing w:line="540" w:lineRule="exact"/>
              <w:jc w:val="center"/>
              <w:rPr>
                <w:rFonts w:eastAsia="黑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spacing w:line="540" w:lineRule="exact"/>
              <w:jc w:val="center"/>
              <w:rPr>
                <w:rFonts w:eastAsia="黑体"/>
                <w:sz w:val="28"/>
                <w:szCs w:val="21"/>
              </w:rPr>
            </w:pPr>
          </w:p>
        </w:tc>
        <w:tc>
          <w:tcPr>
            <w:tcW w:w="719" w:type="dxa"/>
          </w:tcPr>
          <w:p>
            <w:pPr>
              <w:spacing w:line="540" w:lineRule="exact"/>
              <w:jc w:val="center"/>
              <w:rPr>
                <w:rFonts w:eastAsia="黑体"/>
                <w:sz w:val="28"/>
                <w:szCs w:val="21"/>
              </w:rPr>
            </w:pPr>
          </w:p>
        </w:tc>
        <w:tc>
          <w:tcPr>
            <w:tcW w:w="2905" w:type="dxa"/>
          </w:tcPr>
          <w:p>
            <w:pPr>
              <w:spacing w:line="540" w:lineRule="exact"/>
              <w:jc w:val="center"/>
              <w:rPr>
                <w:rFonts w:eastAsia="黑体"/>
                <w:sz w:val="28"/>
                <w:szCs w:val="21"/>
              </w:rPr>
            </w:pPr>
          </w:p>
        </w:tc>
        <w:tc>
          <w:tcPr>
            <w:tcW w:w="1223" w:type="dxa"/>
          </w:tcPr>
          <w:p>
            <w:pPr>
              <w:spacing w:line="540" w:lineRule="exact"/>
              <w:jc w:val="center"/>
              <w:rPr>
                <w:rFonts w:eastAsia="黑体"/>
                <w:sz w:val="28"/>
                <w:szCs w:val="21"/>
              </w:rPr>
            </w:pPr>
          </w:p>
        </w:tc>
        <w:tc>
          <w:tcPr>
            <w:tcW w:w="1336" w:type="dxa"/>
          </w:tcPr>
          <w:p>
            <w:pPr>
              <w:spacing w:line="540" w:lineRule="exact"/>
              <w:jc w:val="center"/>
              <w:rPr>
                <w:rFonts w:eastAsia="黑体"/>
                <w:sz w:val="28"/>
                <w:szCs w:val="21"/>
              </w:rPr>
            </w:pPr>
          </w:p>
        </w:tc>
        <w:tc>
          <w:tcPr>
            <w:tcW w:w="1894" w:type="dxa"/>
          </w:tcPr>
          <w:p>
            <w:pPr>
              <w:spacing w:line="540" w:lineRule="exact"/>
              <w:jc w:val="center"/>
              <w:rPr>
                <w:rFonts w:eastAsia="黑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spacing w:line="540" w:lineRule="exact"/>
              <w:jc w:val="center"/>
              <w:rPr>
                <w:rFonts w:eastAsia="黑体"/>
                <w:sz w:val="28"/>
                <w:szCs w:val="21"/>
              </w:rPr>
            </w:pPr>
          </w:p>
        </w:tc>
        <w:tc>
          <w:tcPr>
            <w:tcW w:w="719" w:type="dxa"/>
          </w:tcPr>
          <w:p>
            <w:pPr>
              <w:spacing w:line="540" w:lineRule="exact"/>
              <w:jc w:val="center"/>
              <w:rPr>
                <w:rFonts w:eastAsia="黑体"/>
                <w:sz w:val="28"/>
                <w:szCs w:val="21"/>
              </w:rPr>
            </w:pPr>
          </w:p>
        </w:tc>
        <w:tc>
          <w:tcPr>
            <w:tcW w:w="2905" w:type="dxa"/>
          </w:tcPr>
          <w:p>
            <w:pPr>
              <w:spacing w:line="540" w:lineRule="exact"/>
              <w:jc w:val="center"/>
              <w:rPr>
                <w:rFonts w:eastAsia="黑体"/>
                <w:sz w:val="28"/>
                <w:szCs w:val="21"/>
              </w:rPr>
            </w:pPr>
          </w:p>
        </w:tc>
        <w:tc>
          <w:tcPr>
            <w:tcW w:w="1223" w:type="dxa"/>
          </w:tcPr>
          <w:p>
            <w:pPr>
              <w:spacing w:line="540" w:lineRule="exact"/>
              <w:jc w:val="center"/>
              <w:rPr>
                <w:rFonts w:eastAsia="黑体"/>
                <w:sz w:val="28"/>
                <w:szCs w:val="21"/>
              </w:rPr>
            </w:pPr>
          </w:p>
        </w:tc>
        <w:tc>
          <w:tcPr>
            <w:tcW w:w="1336" w:type="dxa"/>
          </w:tcPr>
          <w:p>
            <w:pPr>
              <w:spacing w:line="540" w:lineRule="exact"/>
              <w:jc w:val="center"/>
              <w:rPr>
                <w:rFonts w:eastAsia="黑体"/>
                <w:sz w:val="28"/>
                <w:szCs w:val="21"/>
              </w:rPr>
            </w:pPr>
          </w:p>
        </w:tc>
        <w:tc>
          <w:tcPr>
            <w:tcW w:w="1894" w:type="dxa"/>
          </w:tcPr>
          <w:p>
            <w:pPr>
              <w:spacing w:line="540" w:lineRule="exact"/>
              <w:jc w:val="center"/>
              <w:rPr>
                <w:rFonts w:eastAsia="黑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spacing w:line="540" w:lineRule="exact"/>
              <w:jc w:val="center"/>
              <w:rPr>
                <w:rFonts w:eastAsia="黑体"/>
                <w:sz w:val="28"/>
                <w:szCs w:val="21"/>
              </w:rPr>
            </w:pPr>
          </w:p>
        </w:tc>
        <w:tc>
          <w:tcPr>
            <w:tcW w:w="719" w:type="dxa"/>
          </w:tcPr>
          <w:p>
            <w:pPr>
              <w:spacing w:line="540" w:lineRule="exact"/>
              <w:jc w:val="center"/>
              <w:rPr>
                <w:rFonts w:eastAsia="黑体"/>
                <w:sz w:val="28"/>
                <w:szCs w:val="21"/>
              </w:rPr>
            </w:pPr>
          </w:p>
        </w:tc>
        <w:tc>
          <w:tcPr>
            <w:tcW w:w="2905" w:type="dxa"/>
          </w:tcPr>
          <w:p>
            <w:pPr>
              <w:spacing w:line="540" w:lineRule="exact"/>
              <w:jc w:val="center"/>
              <w:rPr>
                <w:rFonts w:eastAsia="黑体"/>
                <w:sz w:val="28"/>
                <w:szCs w:val="21"/>
              </w:rPr>
            </w:pPr>
          </w:p>
        </w:tc>
        <w:tc>
          <w:tcPr>
            <w:tcW w:w="1223" w:type="dxa"/>
          </w:tcPr>
          <w:p>
            <w:pPr>
              <w:spacing w:line="540" w:lineRule="exact"/>
              <w:jc w:val="center"/>
              <w:rPr>
                <w:rFonts w:eastAsia="黑体"/>
                <w:sz w:val="28"/>
                <w:szCs w:val="21"/>
              </w:rPr>
            </w:pPr>
          </w:p>
        </w:tc>
        <w:tc>
          <w:tcPr>
            <w:tcW w:w="1336" w:type="dxa"/>
          </w:tcPr>
          <w:p>
            <w:pPr>
              <w:spacing w:line="540" w:lineRule="exact"/>
              <w:jc w:val="center"/>
              <w:rPr>
                <w:rFonts w:eastAsia="黑体"/>
                <w:sz w:val="28"/>
                <w:szCs w:val="21"/>
              </w:rPr>
            </w:pPr>
          </w:p>
        </w:tc>
        <w:tc>
          <w:tcPr>
            <w:tcW w:w="1894" w:type="dxa"/>
          </w:tcPr>
          <w:p>
            <w:pPr>
              <w:spacing w:line="540" w:lineRule="exact"/>
              <w:jc w:val="center"/>
              <w:rPr>
                <w:rFonts w:eastAsia="黑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spacing w:line="540" w:lineRule="exact"/>
              <w:jc w:val="center"/>
              <w:rPr>
                <w:rFonts w:eastAsia="黑体"/>
                <w:sz w:val="28"/>
                <w:szCs w:val="21"/>
              </w:rPr>
            </w:pPr>
          </w:p>
        </w:tc>
        <w:tc>
          <w:tcPr>
            <w:tcW w:w="719" w:type="dxa"/>
          </w:tcPr>
          <w:p>
            <w:pPr>
              <w:spacing w:line="540" w:lineRule="exact"/>
              <w:jc w:val="center"/>
              <w:rPr>
                <w:rFonts w:eastAsia="黑体"/>
                <w:sz w:val="28"/>
                <w:szCs w:val="21"/>
              </w:rPr>
            </w:pPr>
          </w:p>
        </w:tc>
        <w:tc>
          <w:tcPr>
            <w:tcW w:w="2905" w:type="dxa"/>
          </w:tcPr>
          <w:p>
            <w:pPr>
              <w:spacing w:line="540" w:lineRule="exact"/>
              <w:jc w:val="center"/>
              <w:rPr>
                <w:rFonts w:eastAsia="黑体"/>
                <w:sz w:val="28"/>
                <w:szCs w:val="21"/>
              </w:rPr>
            </w:pPr>
          </w:p>
        </w:tc>
        <w:tc>
          <w:tcPr>
            <w:tcW w:w="1223" w:type="dxa"/>
          </w:tcPr>
          <w:p>
            <w:pPr>
              <w:spacing w:line="540" w:lineRule="exact"/>
              <w:jc w:val="center"/>
              <w:rPr>
                <w:rFonts w:eastAsia="黑体"/>
                <w:sz w:val="28"/>
                <w:szCs w:val="21"/>
              </w:rPr>
            </w:pPr>
          </w:p>
        </w:tc>
        <w:tc>
          <w:tcPr>
            <w:tcW w:w="1336" w:type="dxa"/>
          </w:tcPr>
          <w:p>
            <w:pPr>
              <w:spacing w:line="540" w:lineRule="exact"/>
              <w:jc w:val="center"/>
              <w:rPr>
                <w:rFonts w:eastAsia="黑体"/>
                <w:sz w:val="28"/>
                <w:szCs w:val="21"/>
              </w:rPr>
            </w:pPr>
          </w:p>
        </w:tc>
        <w:tc>
          <w:tcPr>
            <w:tcW w:w="1894" w:type="dxa"/>
          </w:tcPr>
          <w:p>
            <w:pPr>
              <w:spacing w:line="540" w:lineRule="exact"/>
              <w:jc w:val="center"/>
              <w:rPr>
                <w:rFonts w:eastAsia="黑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spacing w:line="540" w:lineRule="exact"/>
              <w:jc w:val="center"/>
              <w:rPr>
                <w:rFonts w:eastAsia="黑体"/>
                <w:sz w:val="28"/>
                <w:szCs w:val="21"/>
              </w:rPr>
            </w:pPr>
          </w:p>
        </w:tc>
        <w:tc>
          <w:tcPr>
            <w:tcW w:w="719" w:type="dxa"/>
          </w:tcPr>
          <w:p>
            <w:pPr>
              <w:spacing w:line="540" w:lineRule="exact"/>
              <w:jc w:val="center"/>
              <w:rPr>
                <w:rFonts w:eastAsia="黑体"/>
                <w:sz w:val="28"/>
                <w:szCs w:val="21"/>
              </w:rPr>
            </w:pPr>
          </w:p>
        </w:tc>
        <w:tc>
          <w:tcPr>
            <w:tcW w:w="2905" w:type="dxa"/>
          </w:tcPr>
          <w:p>
            <w:pPr>
              <w:spacing w:line="540" w:lineRule="exact"/>
              <w:jc w:val="center"/>
              <w:rPr>
                <w:rFonts w:eastAsia="黑体"/>
                <w:sz w:val="28"/>
                <w:szCs w:val="21"/>
              </w:rPr>
            </w:pPr>
          </w:p>
        </w:tc>
        <w:tc>
          <w:tcPr>
            <w:tcW w:w="1223" w:type="dxa"/>
          </w:tcPr>
          <w:p>
            <w:pPr>
              <w:spacing w:line="540" w:lineRule="exact"/>
              <w:jc w:val="center"/>
              <w:rPr>
                <w:rFonts w:eastAsia="黑体"/>
                <w:sz w:val="28"/>
                <w:szCs w:val="21"/>
              </w:rPr>
            </w:pPr>
          </w:p>
        </w:tc>
        <w:tc>
          <w:tcPr>
            <w:tcW w:w="1336" w:type="dxa"/>
          </w:tcPr>
          <w:p>
            <w:pPr>
              <w:spacing w:line="540" w:lineRule="exact"/>
              <w:jc w:val="center"/>
              <w:rPr>
                <w:rFonts w:eastAsia="黑体"/>
                <w:sz w:val="28"/>
                <w:szCs w:val="21"/>
              </w:rPr>
            </w:pPr>
          </w:p>
        </w:tc>
        <w:tc>
          <w:tcPr>
            <w:tcW w:w="1894" w:type="dxa"/>
          </w:tcPr>
          <w:p>
            <w:pPr>
              <w:spacing w:line="540" w:lineRule="exact"/>
              <w:jc w:val="center"/>
              <w:rPr>
                <w:rFonts w:eastAsia="黑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spacing w:line="540" w:lineRule="exact"/>
              <w:jc w:val="center"/>
              <w:rPr>
                <w:rFonts w:eastAsia="黑体"/>
                <w:sz w:val="28"/>
                <w:szCs w:val="21"/>
              </w:rPr>
            </w:pPr>
          </w:p>
        </w:tc>
        <w:tc>
          <w:tcPr>
            <w:tcW w:w="719" w:type="dxa"/>
          </w:tcPr>
          <w:p>
            <w:pPr>
              <w:spacing w:line="540" w:lineRule="exact"/>
              <w:jc w:val="center"/>
              <w:rPr>
                <w:rFonts w:eastAsia="黑体"/>
                <w:sz w:val="28"/>
                <w:szCs w:val="21"/>
              </w:rPr>
            </w:pPr>
          </w:p>
        </w:tc>
        <w:tc>
          <w:tcPr>
            <w:tcW w:w="2905" w:type="dxa"/>
          </w:tcPr>
          <w:p>
            <w:pPr>
              <w:spacing w:line="540" w:lineRule="exact"/>
              <w:jc w:val="center"/>
              <w:rPr>
                <w:rFonts w:eastAsia="黑体"/>
                <w:sz w:val="28"/>
                <w:szCs w:val="21"/>
              </w:rPr>
            </w:pPr>
          </w:p>
        </w:tc>
        <w:tc>
          <w:tcPr>
            <w:tcW w:w="1223" w:type="dxa"/>
          </w:tcPr>
          <w:p>
            <w:pPr>
              <w:spacing w:line="540" w:lineRule="exact"/>
              <w:jc w:val="center"/>
              <w:rPr>
                <w:rFonts w:eastAsia="黑体"/>
                <w:sz w:val="28"/>
                <w:szCs w:val="21"/>
              </w:rPr>
            </w:pPr>
          </w:p>
        </w:tc>
        <w:tc>
          <w:tcPr>
            <w:tcW w:w="1336" w:type="dxa"/>
          </w:tcPr>
          <w:p>
            <w:pPr>
              <w:spacing w:line="540" w:lineRule="exact"/>
              <w:jc w:val="center"/>
              <w:rPr>
                <w:rFonts w:eastAsia="黑体"/>
                <w:sz w:val="28"/>
                <w:szCs w:val="21"/>
              </w:rPr>
            </w:pPr>
          </w:p>
        </w:tc>
        <w:tc>
          <w:tcPr>
            <w:tcW w:w="1894" w:type="dxa"/>
          </w:tcPr>
          <w:p>
            <w:pPr>
              <w:spacing w:line="540" w:lineRule="exact"/>
              <w:jc w:val="center"/>
              <w:rPr>
                <w:rFonts w:eastAsia="黑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spacing w:line="540" w:lineRule="exact"/>
              <w:jc w:val="center"/>
              <w:rPr>
                <w:rFonts w:eastAsia="黑体"/>
                <w:sz w:val="28"/>
                <w:szCs w:val="21"/>
              </w:rPr>
            </w:pPr>
          </w:p>
        </w:tc>
        <w:tc>
          <w:tcPr>
            <w:tcW w:w="719" w:type="dxa"/>
          </w:tcPr>
          <w:p>
            <w:pPr>
              <w:spacing w:line="540" w:lineRule="exact"/>
              <w:jc w:val="center"/>
              <w:rPr>
                <w:rFonts w:eastAsia="黑体"/>
                <w:sz w:val="28"/>
                <w:szCs w:val="21"/>
              </w:rPr>
            </w:pPr>
          </w:p>
        </w:tc>
        <w:tc>
          <w:tcPr>
            <w:tcW w:w="2905" w:type="dxa"/>
          </w:tcPr>
          <w:p>
            <w:pPr>
              <w:spacing w:line="540" w:lineRule="exact"/>
              <w:jc w:val="center"/>
              <w:rPr>
                <w:rFonts w:eastAsia="黑体"/>
                <w:sz w:val="28"/>
                <w:szCs w:val="21"/>
              </w:rPr>
            </w:pPr>
          </w:p>
        </w:tc>
        <w:tc>
          <w:tcPr>
            <w:tcW w:w="1223" w:type="dxa"/>
          </w:tcPr>
          <w:p>
            <w:pPr>
              <w:spacing w:line="540" w:lineRule="exact"/>
              <w:jc w:val="center"/>
              <w:rPr>
                <w:rFonts w:eastAsia="黑体"/>
                <w:sz w:val="28"/>
                <w:szCs w:val="21"/>
              </w:rPr>
            </w:pPr>
          </w:p>
        </w:tc>
        <w:tc>
          <w:tcPr>
            <w:tcW w:w="1336" w:type="dxa"/>
          </w:tcPr>
          <w:p>
            <w:pPr>
              <w:spacing w:line="540" w:lineRule="exact"/>
              <w:jc w:val="center"/>
              <w:rPr>
                <w:rFonts w:eastAsia="黑体"/>
                <w:sz w:val="28"/>
                <w:szCs w:val="21"/>
              </w:rPr>
            </w:pPr>
          </w:p>
        </w:tc>
        <w:tc>
          <w:tcPr>
            <w:tcW w:w="1894" w:type="dxa"/>
          </w:tcPr>
          <w:p>
            <w:pPr>
              <w:spacing w:line="540" w:lineRule="exact"/>
              <w:jc w:val="center"/>
              <w:rPr>
                <w:rFonts w:eastAsia="黑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spacing w:line="540" w:lineRule="exact"/>
              <w:jc w:val="center"/>
              <w:rPr>
                <w:rFonts w:eastAsia="黑体"/>
                <w:sz w:val="28"/>
                <w:szCs w:val="21"/>
              </w:rPr>
            </w:pPr>
          </w:p>
        </w:tc>
        <w:tc>
          <w:tcPr>
            <w:tcW w:w="719" w:type="dxa"/>
          </w:tcPr>
          <w:p>
            <w:pPr>
              <w:spacing w:line="540" w:lineRule="exact"/>
              <w:jc w:val="center"/>
              <w:rPr>
                <w:rFonts w:eastAsia="黑体"/>
                <w:sz w:val="28"/>
                <w:szCs w:val="21"/>
              </w:rPr>
            </w:pPr>
          </w:p>
        </w:tc>
        <w:tc>
          <w:tcPr>
            <w:tcW w:w="2905" w:type="dxa"/>
          </w:tcPr>
          <w:p>
            <w:pPr>
              <w:spacing w:line="540" w:lineRule="exact"/>
              <w:jc w:val="center"/>
              <w:rPr>
                <w:rFonts w:eastAsia="黑体"/>
                <w:sz w:val="28"/>
                <w:szCs w:val="21"/>
              </w:rPr>
            </w:pPr>
          </w:p>
        </w:tc>
        <w:tc>
          <w:tcPr>
            <w:tcW w:w="1223" w:type="dxa"/>
          </w:tcPr>
          <w:p>
            <w:pPr>
              <w:spacing w:line="540" w:lineRule="exact"/>
              <w:jc w:val="center"/>
              <w:rPr>
                <w:rFonts w:eastAsia="黑体"/>
                <w:sz w:val="28"/>
                <w:szCs w:val="21"/>
              </w:rPr>
            </w:pPr>
          </w:p>
        </w:tc>
        <w:tc>
          <w:tcPr>
            <w:tcW w:w="1336" w:type="dxa"/>
          </w:tcPr>
          <w:p>
            <w:pPr>
              <w:spacing w:line="540" w:lineRule="exact"/>
              <w:jc w:val="center"/>
              <w:rPr>
                <w:rFonts w:eastAsia="黑体"/>
                <w:sz w:val="28"/>
                <w:szCs w:val="21"/>
              </w:rPr>
            </w:pPr>
          </w:p>
        </w:tc>
        <w:tc>
          <w:tcPr>
            <w:tcW w:w="1894" w:type="dxa"/>
          </w:tcPr>
          <w:p>
            <w:pPr>
              <w:spacing w:line="540" w:lineRule="exact"/>
              <w:jc w:val="center"/>
              <w:rPr>
                <w:rFonts w:eastAsia="黑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spacing w:line="540" w:lineRule="exact"/>
              <w:jc w:val="center"/>
              <w:rPr>
                <w:rFonts w:eastAsia="黑体"/>
                <w:sz w:val="28"/>
                <w:szCs w:val="21"/>
              </w:rPr>
            </w:pPr>
          </w:p>
        </w:tc>
        <w:tc>
          <w:tcPr>
            <w:tcW w:w="719" w:type="dxa"/>
          </w:tcPr>
          <w:p>
            <w:pPr>
              <w:spacing w:line="540" w:lineRule="exact"/>
              <w:jc w:val="center"/>
              <w:rPr>
                <w:rFonts w:eastAsia="黑体"/>
                <w:sz w:val="28"/>
                <w:szCs w:val="21"/>
              </w:rPr>
            </w:pPr>
          </w:p>
        </w:tc>
        <w:tc>
          <w:tcPr>
            <w:tcW w:w="2905" w:type="dxa"/>
          </w:tcPr>
          <w:p>
            <w:pPr>
              <w:spacing w:line="540" w:lineRule="exact"/>
              <w:jc w:val="center"/>
              <w:rPr>
                <w:rFonts w:eastAsia="黑体"/>
                <w:sz w:val="28"/>
                <w:szCs w:val="21"/>
              </w:rPr>
            </w:pPr>
          </w:p>
        </w:tc>
        <w:tc>
          <w:tcPr>
            <w:tcW w:w="1223" w:type="dxa"/>
          </w:tcPr>
          <w:p>
            <w:pPr>
              <w:spacing w:line="540" w:lineRule="exact"/>
              <w:jc w:val="center"/>
              <w:rPr>
                <w:rFonts w:eastAsia="黑体"/>
                <w:sz w:val="28"/>
                <w:szCs w:val="21"/>
              </w:rPr>
            </w:pPr>
          </w:p>
        </w:tc>
        <w:tc>
          <w:tcPr>
            <w:tcW w:w="1336" w:type="dxa"/>
          </w:tcPr>
          <w:p>
            <w:pPr>
              <w:spacing w:line="540" w:lineRule="exact"/>
              <w:jc w:val="center"/>
              <w:rPr>
                <w:rFonts w:eastAsia="黑体"/>
                <w:sz w:val="28"/>
                <w:szCs w:val="21"/>
              </w:rPr>
            </w:pPr>
          </w:p>
        </w:tc>
        <w:tc>
          <w:tcPr>
            <w:tcW w:w="1894" w:type="dxa"/>
          </w:tcPr>
          <w:p>
            <w:pPr>
              <w:spacing w:line="540" w:lineRule="exact"/>
              <w:jc w:val="center"/>
              <w:rPr>
                <w:rFonts w:eastAsia="黑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spacing w:line="540" w:lineRule="exact"/>
              <w:jc w:val="center"/>
              <w:rPr>
                <w:rFonts w:eastAsia="黑体"/>
                <w:sz w:val="28"/>
                <w:szCs w:val="21"/>
              </w:rPr>
            </w:pPr>
          </w:p>
        </w:tc>
        <w:tc>
          <w:tcPr>
            <w:tcW w:w="719" w:type="dxa"/>
          </w:tcPr>
          <w:p>
            <w:pPr>
              <w:spacing w:line="540" w:lineRule="exact"/>
              <w:jc w:val="center"/>
              <w:rPr>
                <w:rFonts w:eastAsia="黑体"/>
                <w:sz w:val="28"/>
                <w:szCs w:val="21"/>
              </w:rPr>
            </w:pPr>
          </w:p>
        </w:tc>
        <w:tc>
          <w:tcPr>
            <w:tcW w:w="2905" w:type="dxa"/>
          </w:tcPr>
          <w:p>
            <w:pPr>
              <w:spacing w:line="540" w:lineRule="exact"/>
              <w:jc w:val="center"/>
              <w:rPr>
                <w:rFonts w:eastAsia="黑体"/>
                <w:sz w:val="28"/>
                <w:szCs w:val="21"/>
              </w:rPr>
            </w:pPr>
          </w:p>
        </w:tc>
        <w:tc>
          <w:tcPr>
            <w:tcW w:w="1223" w:type="dxa"/>
          </w:tcPr>
          <w:p>
            <w:pPr>
              <w:spacing w:line="540" w:lineRule="exact"/>
              <w:jc w:val="center"/>
              <w:rPr>
                <w:rFonts w:eastAsia="黑体"/>
                <w:sz w:val="28"/>
                <w:szCs w:val="21"/>
              </w:rPr>
            </w:pPr>
          </w:p>
        </w:tc>
        <w:tc>
          <w:tcPr>
            <w:tcW w:w="1336" w:type="dxa"/>
          </w:tcPr>
          <w:p>
            <w:pPr>
              <w:spacing w:line="540" w:lineRule="exact"/>
              <w:jc w:val="center"/>
              <w:rPr>
                <w:rFonts w:eastAsia="黑体"/>
                <w:sz w:val="28"/>
                <w:szCs w:val="21"/>
              </w:rPr>
            </w:pPr>
          </w:p>
        </w:tc>
        <w:tc>
          <w:tcPr>
            <w:tcW w:w="1894" w:type="dxa"/>
          </w:tcPr>
          <w:p>
            <w:pPr>
              <w:spacing w:line="540" w:lineRule="exact"/>
              <w:jc w:val="center"/>
              <w:rPr>
                <w:rFonts w:eastAsia="黑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spacing w:line="540" w:lineRule="exact"/>
              <w:jc w:val="center"/>
              <w:rPr>
                <w:rFonts w:eastAsia="黑体"/>
                <w:sz w:val="28"/>
                <w:szCs w:val="21"/>
              </w:rPr>
            </w:pPr>
          </w:p>
        </w:tc>
        <w:tc>
          <w:tcPr>
            <w:tcW w:w="719" w:type="dxa"/>
          </w:tcPr>
          <w:p>
            <w:pPr>
              <w:spacing w:line="540" w:lineRule="exact"/>
              <w:jc w:val="center"/>
              <w:rPr>
                <w:rFonts w:eastAsia="黑体"/>
                <w:sz w:val="28"/>
                <w:szCs w:val="21"/>
              </w:rPr>
            </w:pPr>
          </w:p>
        </w:tc>
        <w:tc>
          <w:tcPr>
            <w:tcW w:w="2905" w:type="dxa"/>
          </w:tcPr>
          <w:p>
            <w:pPr>
              <w:spacing w:line="540" w:lineRule="exact"/>
              <w:jc w:val="center"/>
              <w:rPr>
                <w:rFonts w:eastAsia="黑体"/>
                <w:sz w:val="28"/>
                <w:szCs w:val="21"/>
              </w:rPr>
            </w:pPr>
          </w:p>
        </w:tc>
        <w:tc>
          <w:tcPr>
            <w:tcW w:w="1223" w:type="dxa"/>
          </w:tcPr>
          <w:p>
            <w:pPr>
              <w:spacing w:line="540" w:lineRule="exact"/>
              <w:jc w:val="center"/>
              <w:rPr>
                <w:rFonts w:eastAsia="黑体"/>
                <w:sz w:val="28"/>
                <w:szCs w:val="21"/>
              </w:rPr>
            </w:pPr>
          </w:p>
        </w:tc>
        <w:tc>
          <w:tcPr>
            <w:tcW w:w="1336" w:type="dxa"/>
          </w:tcPr>
          <w:p>
            <w:pPr>
              <w:spacing w:line="540" w:lineRule="exact"/>
              <w:jc w:val="center"/>
              <w:rPr>
                <w:rFonts w:eastAsia="黑体"/>
                <w:sz w:val="28"/>
                <w:szCs w:val="21"/>
              </w:rPr>
            </w:pPr>
          </w:p>
        </w:tc>
        <w:tc>
          <w:tcPr>
            <w:tcW w:w="1894" w:type="dxa"/>
          </w:tcPr>
          <w:p>
            <w:pPr>
              <w:spacing w:line="540" w:lineRule="exact"/>
              <w:jc w:val="center"/>
              <w:rPr>
                <w:rFonts w:eastAsia="黑体"/>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0" w:type="dxa"/>
          </w:tcPr>
          <w:p>
            <w:pPr>
              <w:spacing w:line="540" w:lineRule="exact"/>
              <w:jc w:val="center"/>
              <w:rPr>
                <w:rFonts w:eastAsia="黑体"/>
                <w:sz w:val="28"/>
                <w:szCs w:val="21"/>
              </w:rPr>
            </w:pPr>
          </w:p>
        </w:tc>
        <w:tc>
          <w:tcPr>
            <w:tcW w:w="719" w:type="dxa"/>
          </w:tcPr>
          <w:p>
            <w:pPr>
              <w:spacing w:line="540" w:lineRule="exact"/>
              <w:jc w:val="center"/>
              <w:rPr>
                <w:rFonts w:eastAsia="黑体"/>
                <w:sz w:val="28"/>
                <w:szCs w:val="21"/>
              </w:rPr>
            </w:pPr>
          </w:p>
        </w:tc>
        <w:tc>
          <w:tcPr>
            <w:tcW w:w="2905" w:type="dxa"/>
          </w:tcPr>
          <w:p>
            <w:pPr>
              <w:spacing w:line="540" w:lineRule="exact"/>
              <w:jc w:val="center"/>
              <w:rPr>
                <w:rFonts w:eastAsia="黑体"/>
                <w:sz w:val="28"/>
                <w:szCs w:val="21"/>
              </w:rPr>
            </w:pPr>
          </w:p>
        </w:tc>
        <w:tc>
          <w:tcPr>
            <w:tcW w:w="1223" w:type="dxa"/>
          </w:tcPr>
          <w:p>
            <w:pPr>
              <w:spacing w:line="540" w:lineRule="exact"/>
              <w:jc w:val="center"/>
              <w:rPr>
                <w:rFonts w:eastAsia="黑体"/>
                <w:sz w:val="28"/>
                <w:szCs w:val="21"/>
              </w:rPr>
            </w:pPr>
          </w:p>
        </w:tc>
        <w:tc>
          <w:tcPr>
            <w:tcW w:w="1336" w:type="dxa"/>
          </w:tcPr>
          <w:p>
            <w:pPr>
              <w:spacing w:line="540" w:lineRule="exact"/>
              <w:jc w:val="center"/>
              <w:rPr>
                <w:rFonts w:eastAsia="黑体"/>
                <w:sz w:val="28"/>
                <w:szCs w:val="21"/>
              </w:rPr>
            </w:pPr>
          </w:p>
        </w:tc>
        <w:tc>
          <w:tcPr>
            <w:tcW w:w="1894" w:type="dxa"/>
          </w:tcPr>
          <w:p>
            <w:pPr>
              <w:spacing w:line="540" w:lineRule="exact"/>
              <w:jc w:val="center"/>
              <w:rPr>
                <w:rFonts w:eastAsia="黑体"/>
                <w:sz w:val="28"/>
                <w:szCs w:val="21"/>
              </w:rPr>
            </w:pPr>
          </w:p>
        </w:tc>
      </w:tr>
    </w:tbl>
    <w:p>
      <w:pPr>
        <w:spacing w:line="360" w:lineRule="auto"/>
        <w:jc w:val="left"/>
        <w:rPr>
          <w:rFonts w:eastAsiaTheme="minorEastAsia"/>
          <w:szCs w:val="21"/>
        </w:rPr>
      </w:pPr>
    </w:p>
    <w:p>
      <w:pPr>
        <w:spacing w:line="300" w:lineRule="exact"/>
        <w:ind w:left="281" w:leftChars="67" w:right="111" w:rightChars="53" w:hanging="140" w:hangingChars="67"/>
        <w:rPr>
          <w:rFonts w:eastAsia="仿宋_GB2312"/>
          <w:szCs w:val="18"/>
        </w:rPr>
      </w:pPr>
      <w:r>
        <w:rPr>
          <w:rFonts w:eastAsia="仿宋_GB2312"/>
          <w:szCs w:val="18"/>
        </w:rPr>
        <w:t>注：本表后应附：</w:t>
      </w:r>
      <w:r>
        <w:rPr>
          <w:rFonts w:hint="eastAsia" w:eastAsia="仿宋_GB2312"/>
          <w:szCs w:val="18"/>
        </w:rPr>
        <w:t>响应人</w:t>
      </w:r>
      <w:r>
        <w:rPr>
          <w:rFonts w:eastAsia="仿宋_GB2312"/>
          <w:szCs w:val="18"/>
        </w:rPr>
        <w:t>团队人员资格证书。</w:t>
      </w:r>
    </w:p>
    <w:p>
      <w:pPr>
        <w:spacing w:line="360" w:lineRule="auto"/>
        <w:jc w:val="left"/>
        <w:rPr>
          <w:rFonts w:eastAsiaTheme="minorEastAsia"/>
          <w:szCs w:val="21"/>
        </w:rPr>
      </w:pPr>
    </w:p>
    <w:p>
      <w:pPr>
        <w:spacing w:line="360" w:lineRule="auto"/>
        <w:jc w:val="left"/>
        <w:rPr>
          <w:rFonts w:eastAsiaTheme="minorEastAsia"/>
          <w:szCs w:val="21"/>
        </w:rPr>
      </w:pPr>
    </w:p>
    <w:p>
      <w:pPr>
        <w:spacing w:line="360" w:lineRule="auto"/>
        <w:jc w:val="left"/>
        <w:rPr>
          <w:rFonts w:eastAsiaTheme="minorEastAsia"/>
          <w:szCs w:val="21"/>
        </w:rPr>
      </w:pPr>
    </w:p>
    <w:p>
      <w:pPr>
        <w:rPr>
          <w:rFonts w:eastAsia="黑体"/>
          <w:sz w:val="28"/>
          <w:szCs w:val="28"/>
        </w:rPr>
      </w:pPr>
      <w:r>
        <w:rPr>
          <w:rFonts w:hint="eastAsia" w:eastAsia="黑体"/>
          <w:sz w:val="28"/>
          <w:szCs w:val="28"/>
        </w:rPr>
        <w:br w:type="page"/>
      </w:r>
    </w:p>
    <w:p>
      <w:pPr>
        <w:spacing w:line="480" w:lineRule="auto"/>
        <w:ind w:firstLine="420"/>
        <w:jc w:val="center"/>
        <w:rPr>
          <w:rFonts w:eastAsia="黑体"/>
          <w:bCs/>
          <w:sz w:val="28"/>
          <w:szCs w:val="28"/>
        </w:rPr>
      </w:pPr>
      <w:r>
        <w:rPr>
          <w:rFonts w:hint="eastAsia" w:eastAsia="黑体"/>
          <w:sz w:val="28"/>
          <w:szCs w:val="28"/>
        </w:rPr>
        <w:t>七</w:t>
      </w:r>
      <w:r>
        <w:rPr>
          <w:rFonts w:eastAsia="黑体"/>
          <w:sz w:val="28"/>
          <w:szCs w:val="28"/>
        </w:rPr>
        <w:t>、</w:t>
      </w:r>
      <w:r>
        <w:rPr>
          <w:rFonts w:eastAsia="黑体"/>
          <w:bCs/>
          <w:sz w:val="28"/>
          <w:szCs w:val="28"/>
        </w:rPr>
        <w:t>承诺书</w:t>
      </w:r>
    </w:p>
    <w:p>
      <w:pPr>
        <w:jc w:val="center"/>
        <w:rPr>
          <w:b/>
        </w:rPr>
      </w:pPr>
    </w:p>
    <w:p>
      <w:pPr>
        <w:widowControl/>
        <w:shd w:val="clear" w:color="auto" w:fill="FFFFFF"/>
        <w:spacing w:line="560" w:lineRule="atLeast"/>
        <w:ind w:firstLine="420"/>
        <w:jc w:val="center"/>
        <w:rPr>
          <w:szCs w:val="21"/>
        </w:rPr>
      </w:pPr>
      <w:r>
        <w:rPr>
          <w:szCs w:val="21"/>
          <w:shd w:val="clear" w:color="auto" w:fill="FFFFFF"/>
        </w:rPr>
        <w:t>近三年无行贿犯罪行为承诺书</w:t>
      </w:r>
    </w:p>
    <w:p>
      <w:pPr>
        <w:widowControl/>
        <w:shd w:val="clear" w:color="auto" w:fill="FFFFFF"/>
        <w:spacing w:line="560" w:lineRule="atLeast"/>
        <w:jc w:val="left"/>
        <w:rPr>
          <w:szCs w:val="21"/>
          <w:shd w:val="clear" w:color="auto" w:fill="FFFFFF"/>
        </w:rPr>
      </w:pPr>
    </w:p>
    <w:p>
      <w:pPr>
        <w:widowControl/>
        <w:shd w:val="clear" w:color="auto" w:fill="FFFFFF"/>
        <w:spacing w:line="560" w:lineRule="atLeast"/>
        <w:jc w:val="left"/>
        <w:rPr>
          <w:szCs w:val="21"/>
        </w:rPr>
      </w:pPr>
      <w:r>
        <w:rPr>
          <w:szCs w:val="21"/>
          <w:shd w:val="clear" w:color="auto" w:fill="FFFFFF"/>
        </w:rPr>
        <w:t>本人以企业法定代表人的身份郑重承诺：</w:t>
      </w:r>
    </w:p>
    <w:p>
      <w:pPr>
        <w:widowControl/>
        <w:shd w:val="clear" w:color="auto" w:fill="FFFFFF"/>
        <w:spacing w:line="560" w:lineRule="atLeast"/>
        <w:ind w:firstLine="420" w:firstLineChars="200"/>
        <w:jc w:val="left"/>
        <w:rPr>
          <w:szCs w:val="21"/>
        </w:rPr>
      </w:pPr>
      <w:r>
        <w:rPr>
          <w:szCs w:val="21"/>
          <w:shd w:val="clear" w:color="auto" w:fill="FFFFFF"/>
        </w:rPr>
        <w:t>本公司、公司法定代表人及拟投入本项目的对接负责人近三年无行贿犯罪行为，愿意接受社会各界监督。</w:t>
      </w:r>
    </w:p>
    <w:p>
      <w:pPr>
        <w:widowControl/>
        <w:shd w:val="clear" w:color="auto" w:fill="FFFFFF"/>
        <w:spacing w:line="560" w:lineRule="atLeast"/>
        <w:ind w:firstLine="420" w:firstLineChars="200"/>
        <w:jc w:val="left"/>
        <w:rPr>
          <w:szCs w:val="21"/>
        </w:rPr>
      </w:pPr>
      <w:r>
        <w:rPr>
          <w:szCs w:val="21"/>
          <w:shd w:val="clear" w:color="auto" w:fill="FFFFFF"/>
        </w:rPr>
        <w:t>本公司、法定代表人及拟投入本项目的对接负责人若有违反承诺内容的行为，自愿接受取消投标资格、记入信用档案、取消中标资格等有关处理，愿意承担法律责任，给</w:t>
      </w:r>
      <w:r>
        <w:rPr>
          <w:rFonts w:hint="eastAsia"/>
          <w:szCs w:val="21"/>
          <w:shd w:val="clear" w:color="auto" w:fill="FFFFFF"/>
        </w:rPr>
        <w:t>采购</w:t>
      </w:r>
      <w:r>
        <w:rPr>
          <w:szCs w:val="21"/>
          <w:shd w:val="clear" w:color="auto" w:fill="FFFFFF"/>
        </w:rPr>
        <w:t>人造成损失的，依法承担赔偿责任。</w:t>
      </w:r>
    </w:p>
    <w:p>
      <w:pPr>
        <w:widowControl/>
        <w:shd w:val="clear" w:color="auto" w:fill="FFFFFF"/>
        <w:spacing w:line="560" w:lineRule="atLeast"/>
        <w:ind w:firstLine="420"/>
        <w:jc w:val="left"/>
        <w:rPr>
          <w:szCs w:val="21"/>
        </w:rPr>
      </w:pPr>
      <w:r>
        <w:rPr>
          <w:szCs w:val="21"/>
          <w:shd w:val="clear" w:color="auto" w:fill="FFFFFF"/>
        </w:rPr>
        <w:t> </w:t>
      </w:r>
    </w:p>
    <w:p>
      <w:pPr>
        <w:widowControl/>
        <w:shd w:val="clear" w:color="auto" w:fill="FFFFFF"/>
        <w:spacing w:line="560" w:lineRule="atLeast"/>
        <w:ind w:firstLine="420"/>
        <w:jc w:val="center"/>
        <w:rPr>
          <w:szCs w:val="21"/>
          <w:shd w:val="clear" w:color="auto" w:fill="FFFFFF"/>
        </w:rPr>
      </w:pPr>
    </w:p>
    <w:p>
      <w:pPr>
        <w:widowControl/>
        <w:shd w:val="clear" w:color="auto" w:fill="FFFFFF"/>
        <w:spacing w:line="560" w:lineRule="atLeast"/>
        <w:ind w:firstLine="420"/>
        <w:jc w:val="center"/>
        <w:rPr>
          <w:szCs w:val="21"/>
          <w:shd w:val="clear" w:color="auto" w:fill="FFFFFF"/>
        </w:rPr>
      </w:pPr>
      <w:r>
        <w:rPr>
          <w:szCs w:val="21"/>
          <w:shd w:val="clear" w:color="auto" w:fill="FFFFFF"/>
        </w:rPr>
        <w:t xml:space="preserve">                    法定代表人（签</w:t>
      </w:r>
      <w:r>
        <w:rPr>
          <w:rFonts w:hint="eastAsia"/>
          <w:szCs w:val="21"/>
          <w:shd w:val="clear" w:color="auto" w:fill="FFFFFF"/>
        </w:rPr>
        <w:t>字或盖章</w:t>
      </w:r>
      <w:r>
        <w:rPr>
          <w:szCs w:val="21"/>
          <w:shd w:val="clear" w:color="auto" w:fill="FFFFFF"/>
        </w:rPr>
        <w:t>）：</w:t>
      </w:r>
    </w:p>
    <w:p>
      <w:pPr>
        <w:rPr>
          <w:szCs w:val="21"/>
        </w:rPr>
      </w:pPr>
    </w:p>
    <w:p>
      <w:pPr>
        <w:widowControl/>
        <w:shd w:val="clear" w:color="auto" w:fill="FFFFFF"/>
        <w:spacing w:line="560" w:lineRule="atLeast"/>
        <w:ind w:firstLine="420"/>
        <w:jc w:val="center"/>
        <w:rPr>
          <w:szCs w:val="21"/>
          <w:shd w:val="clear" w:color="auto" w:fill="FFFFFF"/>
        </w:rPr>
      </w:pPr>
      <w:r>
        <w:rPr>
          <w:szCs w:val="21"/>
          <w:shd w:val="clear" w:color="auto" w:fill="FFFFFF"/>
        </w:rPr>
        <w:t xml:space="preserve">                     </w:t>
      </w:r>
      <w:r>
        <w:rPr>
          <w:rFonts w:hint="eastAsia"/>
          <w:szCs w:val="21"/>
          <w:shd w:val="clear" w:color="auto" w:fill="FFFFFF"/>
        </w:rPr>
        <w:t>响应人</w:t>
      </w:r>
      <w:r>
        <w:rPr>
          <w:szCs w:val="21"/>
          <w:shd w:val="clear" w:color="auto" w:fill="FFFFFF"/>
        </w:rPr>
        <w:t>名称（签</w:t>
      </w:r>
      <w:r>
        <w:rPr>
          <w:rFonts w:hint="eastAsia"/>
          <w:szCs w:val="21"/>
          <w:shd w:val="clear" w:color="auto" w:fill="FFFFFF"/>
        </w:rPr>
        <w:t>字或盖章</w:t>
      </w:r>
      <w:r>
        <w:rPr>
          <w:szCs w:val="21"/>
          <w:shd w:val="clear" w:color="auto" w:fill="FFFFFF"/>
        </w:rPr>
        <w:t>）：</w:t>
      </w:r>
    </w:p>
    <w:p>
      <w:pPr>
        <w:rPr>
          <w:szCs w:val="21"/>
        </w:rPr>
      </w:pPr>
    </w:p>
    <w:p>
      <w:pPr>
        <w:widowControl/>
        <w:shd w:val="clear" w:color="auto" w:fill="FFFFFF"/>
        <w:spacing w:line="560" w:lineRule="atLeast"/>
        <w:ind w:right="150" w:firstLine="420"/>
        <w:jc w:val="right"/>
        <w:rPr>
          <w:szCs w:val="21"/>
        </w:rPr>
      </w:pPr>
      <w:r>
        <w:rPr>
          <w:szCs w:val="21"/>
          <w:shd w:val="clear" w:color="auto" w:fill="FFFFFF"/>
        </w:rPr>
        <w:t>年 月 日</w:t>
      </w:r>
    </w:p>
    <w:p>
      <w:pPr>
        <w:spacing w:line="360" w:lineRule="auto"/>
        <w:jc w:val="left"/>
        <w:rPr>
          <w:rFonts w:eastAsiaTheme="minorEastAsia"/>
          <w:szCs w:val="21"/>
        </w:rPr>
      </w:pPr>
    </w:p>
    <w:p>
      <w:pPr>
        <w:spacing w:line="360" w:lineRule="auto"/>
        <w:jc w:val="left"/>
        <w:rPr>
          <w:rFonts w:eastAsiaTheme="minorEastAsia"/>
          <w:szCs w:val="21"/>
        </w:rPr>
      </w:pPr>
    </w:p>
    <w:p>
      <w:pPr>
        <w:spacing w:line="360" w:lineRule="auto"/>
        <w:jc w:val="left"/>
        <w:rPr>
          <w:rFonts w:eastAsiaTheme="minorEastAsia"/>
          <w:szCs w:val="21"/>
        </w:rPr>
      </w:pPr>
    </w:p>
    <w:p>
      <w:pPr>
        <w:spacing w:line="360" w:lineRule="auto"/>
        <w:jc w:val="left"/>
        <w:rPr>
          <w:rFonts w:eastAsiaTheme="minorEastAsia"/>
          <w:szCs w:val="21"/>
        </w:rPr>
      </w:pPr>
    </w:p>
    <w:p>
      <w:pPr>
        <w:spacing w:line="360" w:lineRule="auto"/>
        <w:jc w:val="left"/>
        <w:rPr>
          <w:rFonts w:eastAsiaTheme="minorEastAsia"/>
          <w:szCs w:val="21"/>
        </w:rPr>
      </w:pPr>
    </w:p>
    <w:p>
      <w:pPr>
        <w:spacing w:line="360" w:lineRule="auto"/>
        <w:jc w:val="left"/>
        <w:rPr>
          <w:rFonts w:eastAsiaTheme="minorEastAsia"/>
          <w:szCs w:val="21"/>
        </w:rPr>
      </w:pPr>
    </w:p>
    <w:p>
      <w:pPr>
        <w:spacing w:line="360" w:lineRule="auto"/>
        <w:jc w:val="left"/>
        <w:rPr>
          <w:rFonts w:eastAsiaTheme="minorEastAsia"/>
          <w:szCs w:val="21"/>
        </w:rPr>
      </w:pPr>
    </w:p>
    <w:p>
      <w:pPr>
        <w:rPr>
          <w:rFonts w:eastAsia="黑体"/>
          <w:bCs/>
          <w:sz w:val="28"/>
          <w:szCs w:val="28"/>
        </w:rPr>
      </w:pPr>
      <w:r>
        <w:rPr>
          <w:rFonts w:hint="eastAsia" w:eastAsia="黑体"/>
          <w:bCs/>
          <w:sz w:val="28"/>
          <w:szCs w:val="28"/>
        </w:rPr>
        <w:br w:type="page"/>
      </w:r>
    </w:p>
    <w:p>
      <w:pPr>
        <w:spacing w:line="480" w:lineRule="auto"/>
        <w:ind w:firstLine="420"/>
        <w:jc w:val="center"/>
        <w:rPr>
          <w:rFonts w:eastAsia="黑体"/>
          <w:bCs/>
          <w:sz w:val="28"/>
          <w:szCs w:val="28"/>
        </w:rPr>
      </w:pPr>
      <w:r>
        <w:rPr>
          <w:rFonts w:hint="eastAsia" w:eastAsia="黑体"/>
          <w:bCs/>
          <w:sz w:val="28"/>
          <w:szCs w:val="28"/>
        </w:rPr>
        <w:t>八</w:t>
      </w:r>
      <w:r>
        <w:rPr>
          <w:rFonts w:eastAsia="黑体"/>
          <w:bCs/>
          <w:sz w:val="28"/>
          <w:szCs w:val="28"/>
        </w:rPr>
        <w:t>、投标文件需要说明的其他资料</w:t>
      </w:r>
    </w:p>
    <w:p>
      <w:pPr>
        <w:spacing w:line="360" w:lineRule="auto"/>
        <w:ind w:firstLine="420" w:firstLineChars="200"/>
        <w:jc w:val="center"/>
        <w:rPr>
          <w:szCs w:val="21"/>
        </w:rPr>
      </w:pPr>
      <w:r>
        <w:rPr>
          <w:szCs w:val="21"/>
        </w:rPr>
        <w:t>投标单位认为需对其投标报价进行其他补充说明及证明材料。</w:t>
      </w:r>
    </w:p>
    <w:p>
      <w:pPr>
        <w:rPr>
          <w:szCs w:val="21"/>
        </w:rPr>
      </w:pPr>
    </w:p>
    <w:p>
      <w:pPr>
        <w:pStyle w:val="2"/>
      </w:pPr>
    </w:p>
    <w:p>
      <w:pPr>
        <w:pStyle w:val="2"/>
      </w:pPr>
    </w:p>
    <w:p>
      <w:pPr>
        <w:spacing w:line="480" w:lineRule="auto"/>
        <w:ind w:firstLine="2520" w:firstLineChars="900"/>
        <w:jc w:val="both"/>
        <w:rPr>
          <w:rFonts w:eastAsia="黑体"/>
          <w:bCs/>
          <w:sz w:val="28"/>
          <w:szCs w:val="28"/>
        </w:rPr>
      </w:pPr>
      <w:r>
        <w:rPr>
          <w:rFonts w:hint="eastAsia" w:eastAsia="黑体"/>
          <w:sz w:val="28"/>
          <w:szCs w:val="28"/>
        </w:rPr>
        <w:t>九</w:t>
      </w:r>
      <w:r>
        <w:rPr>
          <w:rFonts w:eastAsia="黑体"/>
          <w:sz w:val="28"/>
          <w:szCs w:val="28"/>
        </w:rPr>
        <w:t>、</w:t>
      </w:r>
      <w:r>
        <w:rPr>
          <w:rFonts w:eastAsia="黑体"/>
          <w:bCs/>
          <w:sz w:val="28"/>
          <w:szCs w:val="28"/>
        </w:rPr>
        <w:t>造价咨询服务方案</w:t>
      </w:r>
    </w:p>
    <w:p>
      <w:pPr>
        <w:spacing w:line="360" w:lineRule="auto"/>
        <w:jc w:val="left"/>
        <w:rPr>
          <w:rFonts w:eastAsiaTheme="minorEastAsia"/>
          <w:szCs w:val="21"/>
        </w:rPr>
      </w:pPr>
      <w:r>
        <w:rPr>
          <w:rFonts w:eastAsiaTheme="minorEastAsia"/>
          <w:szCs w:val="21"/>
        </w:rPr>
        <w:t>（包括但不限于以下内容）</w:t>
      </w:r>
    </w:p>
    <w:p>
      <w:pPr>
        <w:numPr>
          <w:ilvl w:val="0"/>
          <w:numId w:val="8"/>
        </w:numPr>
        <w:spacing w:line="360" w:lineRule="auto"/>
        <w:jc w:val="left"/>
        <w:rPr>
          <w:rFonts w:eastAsiaTheme="minorEastAsia"/>
          <w:szCs w:val="21"/>
        </w:rPr>
      </w:pPr>
      <w:r>
        <w:rPr>
          <w:rFonts w:eastAsiaTheme="minorEastAsia"/>
          <w:szCs w:val="21"/>
        </w:rPr>
        <w:t>指导思想及工作目标</w:t>
      </w:r>
    </w:p>
    <w:p>
      <w:pPr>
        <w:numPr>
          <w:ilvl w:val="0"/>
          <w:numId w:val="8"/>
        </w:numPr>
        <w:spacing w:line="360" w:lineRule="auto"/>
        <w:jc w:val="left"/>
        <w:rPr>
          <w:rFonts w:eastAsiaTheme="minorEastAsia"/>
          <w:szCs w:val="21"/>
        </w:rPr>
      </w:pPr>
      <w:r>
        <w:rPr>
          <w:rFonts w:eastAsiaTheme="minorEastAsia"/>
          <w:szCs w:val="21"/>
        </w:rPr>
        <w:t>针对招标范围内服务的工作方案</w:t>
      </w:r>
    </w:p>
    <w:p>
      <w:pPr>
        <w:numPr>
          <w:ilvl w:val="0"/>
          <w:numId w:val="8"/>
        </w:numPr>
        <w:spacing w:line="360" w:lineRule="auto"/>
        <w:jc w:val="left"/>
        <w:rPr>
          <w:rFonts w:eastAsiaTheme="minorEastAsia"/>
          <w:szCs w:val="21"/>
        </w:rPr>
      </w:pPr>
      <w:r>
        <w:rPr>
          <w:rFonts w:eastAsiaTheme="minorEastAsia"/>
          <w:szCs w:val="21"/>
        </w:rPr>
        <w:t>造价咨询成果质量控制方案</w:t>
      </w:r>
    </w:p>
    <w:p>
      <w:pPr>
        <w:numPr>
          <w:ilvl w:val="0"/>
          <w:numId w:val="8"/>
        </w:numPr>
        <w:spacing w:line="360" w:lineRule="auto"/>
        <w:jc w:val="left"/>
        <w:rPr>
          <w:rFonts w:eastAsiaTheme="minorEastAsia"/>
          <w:szCs w:val="21"/>
        </w:rPr>
      </w:pPr>
      <w:r>
        <w:rPr>
          <w:rFonts w:eastAsiaTheme="minorEastAsia"/>
          <w:szCs w:val="21"/>
        </w:rPr>
        <w:t>造价咨询成果进度控制方案</w:t>
      </w:r>
    </w:p>
    <w:p>
      <w:pPr>
        <w:numPr>
          <w:ilvl w:val="0"/>
          <w:numId w:val="8"/>
        </w:numPr>
        <w:spacing w:line="360" w:lineRule="auto"/>
        <w:jc w:val="left"/>
        <w:rPr>
          <w:rFonts w:eastAsiaTheme="minorEastAsia"/>
          <w:szCs w:val="21"/>
        </w:rPr>
      </w:pPr>
      <w:r>
        <w:rPr>
          <w:rFonts w:hint="eastAsia" w:eastAsiaTheme="minorEastAsia"/>
          <w:szCs w:val="21"/>
        </w:rPr>
        <w:t>响应人</w:t>
      </w:r>
      <w:r>
        <w:rPr>
          <w:rFonts w:eastAsiaTheme="minorEastAsia"/>
          <w:szCs w:val="21"/>
        </w:rPr>
        <w:t>认为需补充说明的其他内容</w:t>
      </w:r>
    </w:p>
    <w:p>
      <w:pPr>
        <w:pStyle w:val="2"/>
      </w:pPr>
    </w:p>
    <w:sectPr>
      <w:footnotePr>
        <w:numFmt w:val="decimalEnclosedCircleChinese"/>
        <w:numRestart w:val="eachPage"/>
      </w:footnotePr>
      <w:pgSz w:w="11906" w:h="16838"/>
      <w:pgMar w:top="1418" w:right="1304" w:bottom="1418" w:left="1588"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A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文鼎CS书宋二">
    <w:altName w:val="宋体"/>
    <w:panose1 w:val="00000000000000000000"/>
    <w:charset w:val="86"/>
    <w:family w:val="auto"/>
    <w:pitch w:val="default"/>
    <w:sig w:usb0="00000000" w:usb1="00000000" w:usb2="00000010" w:usb3="00000000" w:csb0="00040000" w:csb1="00000000"/>
  </w:font>
  <w:font w:name="Times New Roman Bold">
    <w:altName w:val="Times New Roman"/>
    <w:panose1 w:val="02020803070505020304"/>
    <w:charset w:val="00"/>
    <w:family w:val="roman"/>
    <w:pitch w:val="default"/>
    <w:sig w:usb0="00000000" w:usb1="00000000" w:usb2="00000000" w:usb3="00000000" w:csb0="00000001" w:csb1="00000000"/>
  </w:font>
  <w:font w:name="新宋体">
    <w:panose1 w:val="02010609030101010101"/>
    <w:charset w:val="86"/>
    <w:family w:val="modern"/>
    <w:pitch w:val="default"/>
    <w:sig w:usb0="00000283" w:usb1="288F0000" w:usb2="00000006" w:usb3="00000000" w:csb0="00040001" w:csb1="00000000"/>
  </w:font>
  <w:font w:name="Arial Narrow">
    <w:altName w:val="Arial"/>
    <w:panose1 w:val="020B0606020202030204"/>
    <w:charset w:val="00"/>
    <w:family w:val="swiss"/>
    <w:pitch w:val="default"/>
    <w:sig w:usb0="00000000" w:usb1="00000000" w:usb2="00000000" w:usb3="00000000" w:csb0="0000009F" w:csb1="00000000"/>
  </w:font>
  <w:font w:name="华文细黑">
    <w:altName w:val="微软雅黑"/>
    <w:panose1 w:val="02010600040101010101"/>
    <w:charset w:val="86"/>
    <w:family w:val="auto"/>
    <w:pitch w:val="default"/>
    <w:sig w:usb0="00000000" w:usb1="00000000" w:usb2="00000000" w:usb3="00000000" w:csb0="0004009F" w:csb1="DFD7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文鼎大标宋简">
    <w:altName w:val="宋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spacing w:before="12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framePr w:wrap="around" w:vAnchor="text" w:hAnchor="margin" w:xAlign="center" w:y="1"/>
      <w:rPr>
        <w:rStyle w:val="55"/>
      </w:rPr>
    </w:pPr>
    <w:r>
      <w:fldChar w:fldCharType="begin"/>
    </w:r>
    <w:r>
      <w:rPr>
        <w:rStyle w:val="55"/>
      </w:rPr>
      <w:instrText xml:space="preserve">PAGE  </w:instrText>
    </w:r>
    <w:r>
      <w:fldChar w:fldCharType="separate"/>
    </w:r>
    <w:r>
      <w:rPr>
        <w:rStyle w:val="55"/>
      </w:rPr>
      <w:t>105</w:t>
    </w:r>
    <w:r>
      <w:fldChar w:fldCharType="end"/>
    </w:r>
  </w:p>
  <w:p>
    <w:pPr>
      <w:pStyle w:val="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spacing w:before="12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r>
      <w:fldChar w:fldCharType="begin"/>
    </w:r>
    <w:r>
      <w:rPr>
        <w:rStyle w:val="55"/>
      </w:rPr>
      <w:instrText xml:space="preserve"> PAGE </w:instrText>
    </w:r>
    <w:r>
      <w:fldChar w:fldCharType="separate"/>
    </w:r>
    <w:r>
      <w:rPr>
        <w:rStyle w:val="55"/>
      </w:rPr>
      <w:t>3</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spacing w:before="120"/>
      <w:jc w:val="center"/>
    </w:pPr>
    <w:r>
      <w:fldChar w:fldCharType="begin"/>
    </w:r>
    <w:r>
      <w:rPr>
        <w:rStyle w:val="55"/>
      </w:rPr>
      <w:instrText xml:space="preserve"> PAGE </w:instrText>
    </w:r>
    <w:r>
      <w:fldChar w:fldCharType="separate"/>
    </w:r>
    <w:r>
      <w:rPr>
        <w:rStyle w:val="55"/>
      </w:rPr>
      <w:t>1</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framePr w:wrap="around" w:vAnchor="text" w:hAnchor="margin" w:xAlign="outside" w:y="1"/>
      <w:rPr>
        <w:rStyle w:val="55"/>
      </w:rPr>
    </w:pPr>
    <w:r>
      <w:fldChar w:fldCharType="begin"/>
    </w:r>
    <w:r>
      <w:rPr>
        <w:rStyle w:val="55"/>
      </w:rPr>
      <w:instrText xml:space="preserve">PAGE  </w:instrText>
    </w:r>
    <w:r>
      <w:fldChar w:fldCharType="separate"/>
    </w:r>
    <w:r>
      <w:rPr>
        <w:rStyle w:val="55"/>
      </w:rPr>
      <w:t>105</w:t>
    </w:r>
    <w:r>
      <w:fldChar w:fldCharType="end"/>
    </w:r>
  </w:p>
  <w:p>
    <w:pPr>
      <w:pStyle w:val="36"/>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tabs>
        <w:tab w:val="left" w:pos="6544"/>
        <w:tab w:val="right" w:pos="9000"/>
        <w:tab w:val="clear" w:pos="8306"/>
      </w:tabs>
      <w:spacing w:after="72"/>
      <w:ind w:right="-36" w:rightChars="-17"/>
      <w:jc w:val="left"/>
      <w:rPr>
        <w:rFonts w:hint="eastAsia" w:eastAsia="宋体"/>
        <w:lang w:eastAsia="zh-CN"/>
      </w:rPr>
    </w:pPr>
    <w:r>
      <w:fldChar w:fldCharType="begin"/>
    </w:r>
    <w:r>
      <w:rPr>
        <w:rStyle w:val="55"/>
      </w:rPr>
      <w:instrText xml:space="preserve">PAGE  </w:instrText>
    </w:r>
    <w:r>
      <w:fldChar w:fldCharType="separate"/>
    </w:r>
    <w:r>
      <w:rPr>
        <w:rStyle w:val="55"/>
      </w:rPr>
      <w:t>39</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framePr w:wrap="around" w:vAnchor="text" w:hAnchor="margin" w:xAlign="center" w:y="1"/>
      <w:spacing w:after="72"/>
      <w:ind w:firstLine="360"/>
      <w:rPr>
        <w:rStyle w:val="55"/>
      </w:rPr>
    </w:pPr>
    <w:r>
      <w:fldChar w:fldCharType="begin"/>
    </w:r>
    <w:r>
      <w:rPr>
        <w:rStyle w:val="55"/>
      </w:rPr>
      <w:instrText xml:space="preserve">PAGE  </w:instrText>
    </w:r>
    <w:r>
      <w:fldChar w:fldCharType="separate"/>
    </w:r>
    <w:r>
      <w:rPr>
        <w:rStyle w:val="55"/>
      </w:rPr>
      <w:t>105</w:t>
    </w:r>
    <w:r>
      <w:fldChar w:fldCharType="end"/>
    </w:r>
  </w:p>
  <w:p>
    <w:pPr>
      <w:pStyle w:val="36"/>
      <w:spacing w:after="72"/>
      <w:ind w:right="315" w:rightChars="150"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spacing w:after="7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bottom w:val="thinThickSmallGap" w:color="auto" w:sz="12" w:space="1"/>
      </w:pBdr>
      <w:spacing w:before="120"/>
      <w:jc w:val="left"/>
      <w:rPr>
        <w:rFonts w:ascii="楷体_GB2312" w:eastAsia="楷体_GB2312"/>
        <w:b/>
        <w:sz w:val="21"/>
        <w:szCs w:val="21"/>
      </w:rPr>
    </w:pPr>
    <w:r>
      <w:rPr>
        <w:rFonts w:hint="eastAsia" w:ascii="楷体_GB2312" w:eastAsia="楷体_GB2312"/>
        <w:b/>
        <w:sz w:val="21"/>
        <w:szCs w:val="21"/>
      </w:rPr>
      <w:t>安联湾区时代项目总承包工程造价咨询服务采购文件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wordWrap w:val="0"/>
      <w:jc w:val="right"/>
      <w:rPr>
        <w:sz w:val="17"/>
        <w:szCs w:val="17"/>
      </w:rPr>
    </w:pPr>
    <w:r>
      <w:rPr>
        <w:sz w:val="19"/>
        <w:szCs w:val="19"/>
      </w:rPr>
      <mc:AlternateContent>
        <mc:Choice Requires="wps">
          <w:drawing>
            <wp:anchor distT="0" distB="0" distL="114300" distR="114300" simplePos="0" relativeHeight="251658240" behindDoc="0" locked="0" layoutInCell="1" allowOverlap="1">
              <wp:simplePos x="0" y="0"/>
              <wp:positionH relativeFrom="column">
                <wp:posOffset>-45720</wp:posOffset>
              </wp:positionH>
              <wp:positionV relativeFrom="paragraph">
                <wp:posOffset>175895</wp:posOffset>
              </wp:positionV>
              <wp:extent cx="5343525" cy="0"/>
              <wp:effectExtent l="0" t="22225" r="9525" b="34925"/>
              <wp:wrapNone/>
              <wp:docPr id="1" name="直线 1"/>
              <wp:cNvGraphicFramePr/>
              <a:graphic xmlns:a="http://schemas.openxmlformats.org/drawingml/2006/main">
                <a:graphicData uri="http://schemas.microsoft.com/office/word/2010/wordprocessingShape">
                  <wps:wsp>
                    <wps:cNvCnPr/>
                    <wps:spPr>
                      <a:xfrm>
                        <a:off x="0" y="0"/>
                        <a:ext cx="5343525" cy="0"/>
                      </a:xfrm>
                      <a:prstGeom prst="line">
                        <a:avLst/>
                      </a:prstGeom>
                      <a:ln w="44450" cap="flat" cmpd="thickThin">
                        <a:solidFill>
                          <a:srgbClr val="000000"/>
                        </a:solidFill>
                        <a:prstDash val="solid"/>
                        <a:headEnd type="none" w="med" len="med"/>
                        <a:tailEnd type="none" w="med" len="med"/>
                      </a:ln>
                      <a:effectLst/>
                    </wps:spPr>
                    <wps:bodyPr/>
                  </wps:wsp>
                </a:graphicData>
              </a:graphic>
            </wp:anchor>
          </w:drawing>
        </mc:Choice>
        <mc:Fallback>
          <w:pict>
            <v:line id="直线 1" o:spid="_x0000_s1026" o:spt="20" style="position:absolute;left:0pt;margin-left:-3.6pt;margin-top:13.85pt;height:0pt;width:420.75pt;z-index:251658240;mso-width-relative:page;mso-height-relative:page;" filled="f" stroked="t" coordsize="21600,21600" o:gfxdata="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ilZfe1gAAAAgBAAAPAAAAAAAAAAEAIAAAACIAAABk&#10;cnMvZG93bnJldi54bWxQSwECFAAUAAAACACHTuJA0STssM8BAACWAwAADgAAAAAAAAABACAAAAAl&#10;AQAAZHJzL2Uyb0RvYy54bWxQSwUGAAAAAAYABgBZAQAAZgUAAAAA&#10;">
              <v:fill on="f" focussize="0,0"/>
              <v:stroke weight="3.5pt" color="#000000" linestyle="thickThin" joinstyle="round"/>
              <v:imagedata o:title=""/>
              <o:lock v:ext="edit" aspectratio="f"/>
            </v:line>
          </w:pict>
        </mc:Fallback>
      </mc:AlternateContent>
    </w:r>
    <w:r>
      <w:rPr>
        <w:rFonts w:hint="eastAsia"/>
        <w:kern w:val="0"/>
        <w:sz w:val="17"/>
        <w:szCs w:val="17"/>
      </w:rPr>
      <w:t>廊坊至涿州高速</w:t>
    </w:r>
    <w:r>
      <w:rPr>
        <w:rFonts w:hint="eastAsia"/>
        <w:sz w:val="17"/>
        <w:szCs w:val="17"/>
      </w:rPr>
      <w:t>公路涿州至旧州段路基桥涵工程施工询比资格预审文件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bottom w:val="thinThickSmallGap" w:color="auto" w:sz="12" w:space="1"/>
      </w:pBdr>
      <w:spacing w:before="120"/>
      <w:jc w:val="left"/>
    </w:pPr>
    <w:r>
      <w:rPr>
        <w:rFonts w:hint="eastAsia" w:ascii="楷体_GB2312" w:eastAsia="楷体_GB2312"/>
        <w:b/>
        <w:sz w:val="21"/>
        <w:szCs w:val="21"/>
      </w:rPr>
      <w:t>安联湾区时代项目总承包工程造价咨询服务采购文件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jc w:val="both"/>
      <w:rPr>
        <w:rFonts w:ascii="宋体" w:hAnsi="黑体"/>
        <w:kern w:val="44"/>
        <w:szCs w:val="21"/>
      </w:rPr>
    </w:pPr>
    <w:r>
      <w:rPr>
        <w:rFonts w:hint="eastAsia" w:ascii="宋体" w:hAnsi="黑体"/>
        <w:kern w:val="44"/>
        <w:szCs w:val="21"/>
      </w:rPr>
      <w:t>济南至广州国家高速公路江西瑞金至寻乌段建设项目土建工程施工采购文件</w:t>
    </w:r>
  </w:p>
  <w:p>
    <w:pPr>
      <w:pStyle w:val="38"/>
      <w:rPr>
        <w:szCs w:val="21"/>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spacing w:after="72"/>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bottom w:val="thinThickSmallGap" w:color="auto" w:sz="18" w:space="1"/>
      </w:pBdr>
      <w:tabs>
        <w:tab w:val="right" w:pos="8975"/>
        <w:tab w:val="clear" w:pos="8306"/>
      </w:tabs>
      <w:spacing w:after="72"/>
      <w:jc w:val="both"/>
      <w:rPr>
        <w:rFonts w:ascii="宋体" w:hAnsi="宋体" w:eastAsia="楷体_GB2312"/>
      </w:rPr>
    </w:pPr>
    <w:r>
      <w:rPr>
        <w:rFonts w:hint="eastAsia" w:ascii="Tahoma" w:hAnsi="Tahoma" w:eastAsia="黑体" w:cs="Tahoma"/>
        <w:b/>
      </w:rPr>
      <w:t>安徽省交通投资集团有限责任公司所属部分高速公路综合小修保养工程施工</w:t>
    </w:r>
    <w:r>
      <w:rPr>
        <w:rFonts w:ascii="Tahoma" w:hAnsi="Tahoma" w:eastAsia="黑体" w:cs="Tahoma"/>
        <w:b/>
      </w:rPr>
      <w:t>询比</w:t>
    </w:r>
    <w:r>
      <w:rPr>
        <w:rFonts w:hint="eastAsia" w:ascii="楷体_GB2312" w:eastAsia="楷体_GB2312"/>
        <w:b/>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3E64F8"/>
    <w:multiLevelType w:val="singleLevel"/>
    <w:tmpl w:val="B03E64F8"/>
    <w:lvl w:ilvl="0" w:tentative="0">
      <w:start w:val="1"/>
      <w:numFmt w:val="chineseCounting"/>
      <w:suff w:val="nothing"/>
      <w:lvlText w:val="%1、"/>
      <w:lvlJc w:val="left"/>
      <w:pPr>
        <w:ind w:left="0" w:firstLine="0"/>
      </w:pPr>
      <w:rPr>
        <w:rFonts w:hint="eastAsia"/>
      </w:rPr>
    </w:lvl>
  </w:abstractNum>
  <w:abstractNum w:abstractNumId="1">
    <w:nsid w:val="B043CBEE"/>
    <w:multiLevelType w:val="singleLevel"/>
    <w:tmpl w:val="B043CBEE"/>
    <w:lvl w:ilvl="0" w:tentative="0">
      <w:start w:val="1"/>
      <w:numFmt w:val="decimal"/>
      <w:suff w:val="nothing"/>
      <w:lvlText w:val="%1、"/>
      <w:lvlJc w:val="left"/>
      <w:pPr>
        <w:ind w:left="480" w:firstLine="0"/>
      </w:pPr>
    </w:lvl>
  </w:abstractNum>
  <w:abstractNum w:abstractNumId="2">
    <w:nsid w:val="0000000C"/>
    <w:multiLevelType w:val="multilevel"/>
    <w:tmpl w:val="0000000C"/>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16"/>
    <w:multiLevelType w:val="multilevel"/>
    <w:tmpl w:val="00000016"/>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747"/>
        </w:tabs>
        <w:ind w:left="747" w:hanging="567"/>
      </w:pPr>
    </w:lvl>
    <w:lvl w:ilvl="2" w:tentative="0">
      <w:start w:val="1"/>
      <w:numFmt w:val="decimal"/>
      <w:pStyle w:val="6"/>
      <w:lvlText w:val="%1.%2.%3."/>
      <w:lvlJc w:val="left"/>
      <w:pPr>
        <w:tabs>
          <w:tab w:val="left" w:pos="3229"/>
        </w:tabs>
        <w:ind w:left="322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4">
    <w:nsid w:val="2F829B87"/>
    <w:multiLevelType w:val="singleLevel"/>
    <w:tmpl w:val="2F829B87"/>
    <w:lvl w:ilvl="0" w:tentative="0">
      <w:start w:val="1"/>
      <w:numFmt w:val="decimal"/>
      <w:suff w:val="nothing"/>
      <w:lvlText w:val="%1、"/>
      <w:lvlJc w:val="left"/>
      <w:pPr>
        <w:ind w:left="480" w:firstLine="0"/>
      </w:pPr>
    </w:lvl>
  </w:abstractNum>
  <w:abstractNum w:abstractNumId="5">
    <w:nsid w:val="387E01CE"/>
    <w:multiLevelType w:val="multilevel"/>
    <w:tmpl w:val="387E01C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EFA4818"/>
    <w:multiLevelType w:val="multilevel"/>
    <w:tmpl w:val="3EFA4818"/>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71BC09E0"/>
    <w:multiLevelType w:val="multilevel"/>
    <w:tmpl w:val="71BC09E0"/>
    <w:lvl w:ilvl="0" w:tentative="0">
      <w:start w:val="1"/>
      <w:numFmt w:val="japaneseCounting"/>
      <w:lvlText w:val="第%1章"/>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7"/>
  </w:num>
  <w:num w:numId="3">
    <w:abstractNumId w:val="5"/>
  </w:num>
  <w:num w:numId="4">
    <w:abstractNumId w:val="0"/>
  </w:num>
  <w:num w:numId="5">
    <w:abstractNumId w:val="4"/>
  </w:num>
  <w:num w:numId="6">
    <w:abstractNumId w:val="1"/>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trackRevisions w:val="1"/>
  <w:documentProtection w:enforcement="0"/>
  <w:defaultTabStop w:val="420"/>
  <w:drawingGridHorizontalSpacing w:val="210"/>
  <w:drawingGridVerticalSpacing w:val="156"/>
  <w:noPunctuationKerning w:val="1"/>
  <w:characterSpacingControl w:val="compressPunctuation"/>
  <w:doNotValidateAgainstSchema/>
  <w:doNotDemarcateInvalidXml/>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688"/>
    <w:rsid w:val="00001946"/>
    <w:rsid w:val="0000488A"/>
    <w:rsid w:val="000065F1"/>
    <w:rsid w:val="00010831"/>
    <w:rsid w:val="000135E3"/>
    <w:rsid w:val="0001375E"/>
    <w:rsid w:val="00013EBF"/>
    <w:rsid w:val="00014E93"/>
    <w:rsid w:val="00017802"/>
    <w:rsid w:val="00017C3B"/>
    <w:rsid w:val="00020321"/>
    <w:rsid w:val="00021BFC"/>
    <w:rsid w:val="00021DB2"/>
    <w:rsid w:val="00025045"/>
    <w:rsid w:val="0002521C"/>
    <w:rsid w:val="00027A41"/>
    <w:rsid w:val="00032415"/>
    <w:rsid w:val="0003606B"/>
    <w:rsid w:val="000365A6"/>
    <w:rsid w:val="00036EDF"/>
    <w:rsid w:val="0003768C"/>
    <w:rsid w:val="00046C7D"/>
    <w:rsid w:val="00047F52"/>
    <w:rsid w:val="000546E6"/>
    <w:rsid w:val="000550D4"/>
    <w:rsid w:val="00056453"/>
    <w:rsid w:val="0006111E"/>
    <w:rsid w:val="00062A51"/>
    <w:rsid w:val="000639A2"/>
    <w:rsid w:val="000641BD"/>
    <w:rsid w:val="0006441F"/>
    <w:rsid w:val="000646E9"/>
    <w:rsid w:val="00066D27"/>
    <w:rsid w:val="00067732"/>
    <w:rsid w:val="00070444"/>
    <w:rsid w:val="0007097E"/>
    <w:rsid w:val="0007253D"/>
    <w:rsid w:val="000734DA"/>
    <w:rsid w:val="00073B6D"/>
    <w:rsid w:val="00073DA4"/>
    <w:rsid w:val="00074C7D"/>
    <w:rsid w:val="00076BC4"/>
    <w:rsid w:val="0007758B"/>
    <w:rsid w:val="0008075A"/>
    <w:rsid w:val="000815F4"/>
    <w:rsid w:val="00083C41"/>
    <w:rsid w:val="0008438C"/>
    <w:rsid w:val="00084A77"/>
    <w:rsid w:val="00084D12"/>
    <w:rsid w:val="00085C8E"/>
    <w:rsid w:val="00086684"/>
    <w:rsid w:val="00092454"/>
    <w:rsid w:val="000940D5"/>
    <w:rsid w:val="00094CCF"/>
    <w:rsid w:val="00095511"/>
    <w:rsid w:val="000A0732"/>
    <w:rsid w:val="000A2169"/>
    <w:rsid w:val="000A2B9F"/>
    <w:rsid w:val="000A3050"/>
    <w:rsid w:val="000A502A"/>
    <w:rsid w:val="000A6678"/>
    <w:rsid w:val="000B4E3C"/>
    <w:rsid w:val="000B5921"/>
    <w:rsid w:val="000B74F6"/>
    <w:rsid w:val="000C6ED9"/>
    <w:rsid w:val="000C7EDC"/>
    <w:rsid w:val="000D0696"/>
    <w:rsid w:val="000D257D"/>
    <w:rsid w:val="000D3F13"/>
    <w:rsid w:val="000D48C5"/>
    <w:rsid w:val="000D5E26"/>
    <w:rsid w:val="000D6422"/>
    <w:rsid w:val="000E02FE"/>
    <w:rsid w:val="000E0F38"/>
    <w:rsid w:val="000E1A8A"/>
    <w:rsid w:val="000E4F49"/>
    <w:rsid w:val="000E6293"/>
    <w:rsid w:val="000E6A2C"/>
    <w:rsid w:val="000F41D5"/>
    <w:rsid w:val="000F472E"/>
    <w:rsid w:val="000F7EEA"/>
    <w:rsid w:val="001063F7"/>
    <w:rsid w:val="00106454"/>
    <w:rsid w:val="00107DAC"/>
    <w:rsid w:val="001144C3"/>
    <w:rsid w:val="00114837"/>
    <w:rsid w:val="00114EBA"/>
    <w:rsid w:val="001156CF"/>
    <w:rsid w:val="00115F4D"/>
    <w:rsid w:val="001163F9"/>
    <w:rsid w:val="00117158"/>
    <w:rsid w:val="00121360"/>
    <w:rsid w:val="0012546C"/>
    <w:rsid w:val="00130B75"/>
    <w:rsid w:val="00133FDF"/>
    <w:rsid w:val="00135B05"/>
    <w:rsid w:val="00135D79"/>
    <w:rsid w:val="00140727"/>
    <w:rsid w:val="001429A1"/>
    <w:rsid w:val="001430F1"/>
    <w:rsid w:val="0014373D"/>
    <w:rsid w:val="00147CCA"/>
    <w:rsid w:val="0015134D"/>
    <w:rsid w:val="00152EAB"/>
    <w:rsid w:val="00157B2F"/>
    <w:rsid w:val="001604F8"/>
    <w:rsid w:val="001618EF"/>
    <w:rsid w:val="001619FE"/>
    <w:rsid w:val="001629D2"/>
    <w:rsid w:val="00163B8D"/>
    <w:rsid w:val="0016647D"/>
    <w:rsid w:val="00172A27"/>
    <w:rsid w:val="001737B2"/>
    <w:rsid w:val="00174010"/>
    <w:rsid w:val="0017512C"/>
    <w:rsid w:val="001758A5"/>
    <w:rsid w:val="001759C7"/>
    <w:rsid w:val="00180E6D"/>
    <w:rsid w:val="001826DC"/>
    <w:rsid w:val="001829BA"/>
    <w:rsid w:val="00183DCD"/>
    <w:rsid w:val="0018410A"/>
    <w:rsid w:val="00190FAE"/>
    <w:rsid w:val="0019247B"/>
    <w:rsid w:val="001970BA"/>
    <w:rsid w:val="001A0E9D"/>
    <w:rsid w:val="001A364C"/>
    <w:rsid w:val="001A3F89"/>
    <w:rsid w:val="001A5FBC"/>
    <w:rsid w:val="001A6EC6"/>
    <w:rsid w:val="001B41AC"/>
    <w:rsid w:val="001B65B4"/>
    <w:rsid w:val="001B75BD"/>
    <w:rsid w:val="001C160A"/>
    <w:rsid w:val="001C3906"/>
    <w:rsid w:val="001C3980"/>
    <w:rsid w:val="001C43D0"/>
    <w:rsid w:val="001C485E"/>
    <w:rsid w:val="001C764D"/>
    <w:rsid w:val="001C76E8"/>
    <w:rsid w:val="001D1E88"/>
    <w:rsid w:val="001D2C02"/>
    <w:rsid w:val="001D57A8"/>
    <w:rsid w:val="001D5ED4"/>
    <w:rsid w:val="001D77D6"/>
    <w:rsid w:val="001E031A"/>
    <w:rsid w:val="001E1777"/>
    <w:rsid w:val="001E3597"/>
    <w:rsid w:val="001E5FD2"/>
    <w:rsid w:val="001E7DBE"/>
    <w:rsid w:val="001F11AE"/>
    <w:rsid w:val="001F26BB"/>
    <w:rsid w:val="001F2975"/>
    <w:rsid w:val="001F6E06"/>
    <w:rsid w:val="001F7705"/>
    <w:rsid w:val="00200C7B"/>
    <w:rsid w:val="002011AF"/>
    <w:rsid w:val="00201E39"/>
    <w:rsid w:val="00202FF1"/>
    <w:rsid w:val="0020367A"/>
    <w:rsid w:val="00203DAE"/>
    <w:rsid w:val="00204544"/>
    <w:rsid w:val="00205F34"/>
    <w:rsid w:val="00205F51"/>
    <w:rsid w:val="00206CA6"/>
    <w:rsid w:val="00206DD0"/>
    <w:rsid w:val="00210E41"/>
    <w:rsid w:val="0021150C"/>
    <w:rsid w:val="00211B18"/>
    <w:rsid w:val="002146EC"/>
    <w:rsid w:val="0021569B"/>
    <w:rsid w:val="002159B0"/>
    <w:rsid w:val="002214FD"/>
    <w:rsid w:val="00221CA9"/>
    <w:rsid w:val="00222026"/>
    <w:rsid w:val="002224BB"/>
    <w:rsid w:val="0022250C"/>
    <w:rsid w:val="002244E6"/>
    <w:rsid w:val="0022493D"/>
    <w:rsid w:val="00225BB6"/>
    <w:rsid w:val="00225D37"/>
    <w:rsid w:val="0022615A"/>
    <w:rsid w:val="00227E2E"/>
    <w:rsid w:val="002303EC"/>
    <w:rsid w:val="002322A1"/>
    <w:rsid w:val="0023542D"/>
    <w:rsid w:val="002372BB"/>
    <w:rsid w:val="00240005"/>
    <w:rsid w:val="00240AD8"/>
    <w:rsid w:val="00242338"/>
    <w:rsid w:val="00244998"/>
    <w:rsid w:val="00246938"/>
    <w:rsid w:val="00247A4B"/>
    <w:rsid w:val="00251BD8"/>
    <w:rsid w:val="00253899"/>
    <w:rsid w:val="00253916"/>
    <w:rsid w:val="002551DC"/>
    <w:rsid w:val="00256B83"/>
    <w:rsid w:val="00256E2A"/>
    <w:rsid w:val="00271C2E"/>
    <w:rsid w:val="00273B7D"/>
    <w:rsid w:val="00276FE4"/>
    <w:rsid w:val="0027778D"/>
    <w:rsid w:val="0027794F"/>
    <w:rsid w:val="00280319"/>
    <w:rsid w:val="00280AE5"/>
    <w:rsid w:val="00283734"/>
    <w:rsid w:val="00285F54"/>
    <w:rsid w:val="0029159D"/>
    <w:rsid w:val="002917F8"/>
    <w:rsid w:val="002929EA"/>
    <w:rsid w:val="00294B79"/>
    <w:rsid w:val="00294DEE"/>
    <w:rsid w:val="0029679D"/>
    <w:rsid w:val="002A0519"/>
    <w:rsid w:val="002A193B"/>
    <w:rsid w:val="002A253C"/>
    <w:rsid w:val="002A360E"/>
    <w:rsid w:val="002A4A82"/>
    <w:rsid w:val="002A4F54"/>
    <w:rsid w:val="002A63BF"/>
    <w:rsid w:val="002A7385"/>
    <w:rsid w:val="002B01B4"/>
    <w:rsid w:val="002B0871"/>
    <w:rsid w:val="002B17CE"/>
    <w:rsid w:val="002B59C6"/>
    <w:rsid w:val="002B6D75"/>
    <w:rsid w:val="002C077E"/>
    <w:rsid w:val="002C2BF3"/>
    <w:rsid w:val="002C3B2A"/>
    <w:rsid w:val="002C4CA7"/>
    <w:rsid w:val="002C5C05"/>
    <w:rsid w:val="002C6A40"/>
    <w:rsid w:val="002D5382"/>
    <w:rsid w:val="002E511B"/>
    <w:rsid w:val="002E51B7"/>
    <w:rsid w:val="002E749D"/>
    <w:rsid w:val="002E7F80"/>
    <w:rsid w:val="002F2233"/>
    <w:rsid w:val="002F2457"/>
    <w:rsid w:val="002F2DFA"/>
    <w:rsid w:val="002F383E"/>
    <w:rsid w:val="002F44EB"/>
    <w:rsid w:val="002F626D"/>
    <w:rsid w:val="002F68E2"/>
    <w:rsid w:val="002F705A"/>
    <w:rsid w:val="002F75F4"/>
    <w:rsid w:val="00300D64"/>
    <w:rsid w:val="003062BF"/>
    <w:rsid w:val="00306A4C"/>
    <w:rsid w:val="00306AEC"/>
    <w:rsid w:val="00306B2F"/>
    <w:rsid w:val="00307E96"/>
    <w:rsid w:val="003103C9"/>
    <w:rsid w:val="00312716"/>
    <w:rsid w:val="00312E6F"/>
    <w:rsid w:val="00315FAF"/>
    <w:rsid w:val="00323B85"/>
    <w:rsid w:val="00326B48"/>
    <w:rsid w:val="00332EE4"/>
    <w:rsid w:val="00333B14"/>
    <w:rsid w:val="003348F5"/>
    <w:rsid w:val="00334962"/>
    <w:rsid w:val="00335964"/>
    <w:rsid w:val="003378EE"/>
    <w:rsid w:val="00337CC2"/>
    <w:rsid w:val="00342C3B"/>
    <w:rsid w:val="00344146"/>
    <w:rsid w:val="003460E8"/>
    <w:rsid w:val="00347986"/>
    <w:rsid w:val="00351E10"/>
    <w:rsid w:val="0035271A"/>
    <w:rsid w:val="0035378A"/>
    <w:rsid w:val="003551FC"/>
    <w:rsid w:val="003602F4"/>
    <w:rsid w:val="0036066E"/>
    <w:rsid w:val="00360D96"/>
    <w:rsid w:val="003615BC"/>
    <w:rsid w:val="00363404"/>
    <w:rsid w:val="003648A6"/>
    <w:rsid w:val="00366006"/>
    <w:rsid w:val="00370864"/>
    <w:rsid w:val="00372255"/>
    <w:rsid w:val="00373894"/>
    <w:rsid w:val="00375556"/>
    <w:rsid w:val="00381A9C"/>
    <w:rsid w:val="00382F0D"/>
    <w:rsid w:val="00383561"/>
    <w:rsid w:val="00384ABE"/>
    <w:rsid w:val="0039020B"/>
    <w:rsid w:val="00390A54"/>
    <w:rsid w:val="003922B7"/>
    <w:rsid w:val="003942DE"/>
    <w:rsid w:val="00394576"/>
    <w:rsid w:val="0039518C"/>
    <w:rsid w:val="003955EC"/>
    <w:rsid w:val="00396FF5"/>
    <w:rsid w:val="003A1218"/>
    <w:rsid w:val="003A5D8F"/>
    <w:rsid w:val="003A6DD3"/>
    <w:rsid w:val="003A73DA"/>
    <w:rsid w:val="003A7833"/>
    <w:rsid w:val="003A7A14"/>
    <w:rsid w:val="003B02BD"/>
    <w:rsid w:val="003B1D93"/>
    <w:rsid w:val="003B2410"/>
    <w:rsid w:val="003B61E6"/>
    <w:rsid w:val="003C003D"/>
    <w:rsid w:val="003C0DA2"/>
    <w:rsid w:val="003D0F77"/>
    <w:rsid w:val="003D36BD"/>
    <w:rsid w:val="003D43D6"/>
    <w:rsid w:val="003D4723"/>
    <w:rsid w:val="003D48F9"/>
    <w:rsid w:val="003D4DB4"/>
    <w:rsid w:val="003D544C"/>
    <w:rsid w:val="003D54BB"/>
    <w:rsid w:val="003D5616"/>
    <w:rsid w:val="003D668D"/>
    <w:rsid w:val="003D66D4"/>
    <w:rsid w:val="003D75A1"/>
    <w:rsid w:val="003E1E6A"/>
    <w:rsid w:val="003E51EA"/>
    <w:rsid w:val="003E68E7"/>
    <w:rsid w:val="003F05CC"/>
    <w:rsid w:val="003F3BBD"/>
    <w:rsid w:val="003F3BBF"/>
    <w:rsid w:val="003F66EA"/>
    <w:rsid w:val="003F6734"/>
    <w:rsid w:val="003F6ACF"/>
    <w:rsid w:val="004036B8"/>
    <w:rsid w:val="0040500A"/>
    <w:rsid w:val="00407C1B"/>
    <w:rsid w:val="00410066"/>
    <w:rsid w:val="004104CF"/>
    <w:rsid w:val="00411913"/>
    <w:rsid w:val="0041198F"/>
    <w:rsid w:val="00411BBB"/>
    <w:rsid w:val="0041306A"/>
    <w:rsid w:val="004146C9"/>
    <w:rsid w:val="00415AA8"/>
    <w:rsid w:val="004179DC"/>
    <w:rsid w:val="00417E79"/>
    <w:rsid w:val="00423C28"/>
    <w:rsid w:val="00423CD1"/>
    <w:rsid w:val="00424159"/>
    <w:rsid w:val="00424A9D"/>
    <w:rsid w:val="0042533D"/>
    <w:rsid w:val="00425DA5"/>
    <w:rsid w:val="00426DB4"/>
    <w:rsid w:val="0043044F"/>
    <w:rsid w:val="004307DB"/>
    <w:rsid w:val="004307FD"/>
    <w:rsid w:val="00430A0B"/>
    <w:rsid w:val="00432455"/>
    <w:rsid w:val="00432583"/>
    <w:rsid w:val="00435B6F"/>
    <w:rsid w:val="00437F19"/>
    <w:rsid w:val="004417F3"/>
    <w:rsid w:val="00443572"/>
    <w:rsid w:val="0044594A"/>
    <w:rsid w:val="00445A9F"/>
    <w:rsid w:val="00446ADF"/>
    <w:rsid w:val="00447CDF"/>
    <w:rsid w:val="00450B1F"/>
    <w:rsid w:val="00450BEF"/>
    <w:rsid w:val="00452369"/>
    <w:rsid w:val="00452DAC"/>
    <w:rsid w:val="004542E2"/>
    <w:rsid w:val="00456979"/>
    <w:rsid w:val="00457081"/>
    <w:rsid w:val="00457D38"/>
    <w:rsid w:val="004645BF"/>
    <w:rsid w:val="00465414"/>
    <w:rsid w:val="0046673A"/>
    <w:rsid w:val="004703F0"/>
    <w:rsid w:val="004712CD"/>
    <w:rsid w:val="00472946"/>
    <w:rsid w:val="0047382E"/>
    <w:rsid w:val="004740DE"/>
    <w:rsid w:val="00474250"/>
    <w:rsid w:val="00474DDF"/>
    <w:rsid w:val="004819C4"/>
    <w:rsid w:val="00481DA6"/>
    <w:rsid w:val="004826BF"/>
    <w:rsid w:val="00482A5B"/>
    <w:rsid w:val="00485051"/>
    <w:rsid w:val="0048756A"/>
    <w:rsid w:val="0049036E"/>
    <w:rsid w:val="00490C2A"/>
    <w:rsid w:val="00491EAD"/>
    <w:rsid w:val="004950E2"/>
    <w:rsid w:val="00497C06"/>
    <w:rsid w:val="004A002F"/>
    <w:rsid w:val="004A039F"/>
    <w:rsid w:val="004A1E8B"/>
    <w:rsid w:val="004A3C86"/>
    <w:rsid w:val="004A588C"/>
    <w:rsid w:val="004A656E"/>
    <w:rsid w:val="004B2960"/>
    <w:rsid w:val="004B39BD"/>
    <w:rsid w:val="004B58B2"/>
    <w:rsid w:val="004C061E"/>
    <w:rsid w:val="004C54B8"/>
    <w:rsid w:val="004C60F6"/>
    <w:rsid w:val="004C72E5"/>
    <w:rsid w:val="004C7E4D"/>
    <w:rsid w:val="004D1996"/>
    <w:rsid w:val="004D33C0"/>
    <w:rsid w:val="004D3ACA"/>
    <w:rsid w:val="004D419A"/>
    <w:rsid w:val="004D4A76"/>
    <w:rsid w:val="004D740F"/>
    <w:rsid w:val="004E0AEE"/>
    <w:rsid w:val="004E0B09"/>
    <w:rsid w:val="004E1C13"/>
    <w:rsid w:val="004E2E01"/>
    <w:rsid w:val="004E3C58"/>
    <w:rsid w:val="004E3C97"/>
    <w:rsid w:val="004E44BA"/>
    <w:rsid w:val="004E4522"/>
    <w:rsid w:val="004F0C61"/>
    <w:rsid w:val="004F18F0"/>
    <w:rsid w:val="004F290B"/>
    <w:rsid w:val="004F4CA6"/>
    <w:rsid w:val="004F5A08"/>
    <w:rsid w:val="004F7B8F"/>
    <w:rsid w:val="004F7CB6"/>
    <w:rsid w:val="00501491"/>
    <w:rsid w:val="00501980"/>
    <w:rsid w:val="005023C1"/>
    <w:rsid w:val="00505913"/>
    <w:rsid w:val="00505AF3"/>
    <w:rsid w:val="00511E9E"/>
    <w:rsid w:val="00512F20"/>
    <w:rsid w:val="005131BA"/>
    <w:rsid w:val="005132CC"/>
    <w:rsid w:val="00513F0C"/>
    <w:rsid w:val="00515819"/>
    <w:rsid w:val="0051596F"/>
    <w:rsid w:val="00515E4C"/>
    <w:rsid w:val="005170B4"/>
    <w:rsid w:val="00517F76"/>
    <w:rsid w:val="005202C2"/>
    <w:rsid w:val="00521E4C"/>
    <w:rsid w:val="005223E0"/>
    <w:rsid w:val="005240C7"/>
    <w:rsid w:val="0052610D"/>
    <w:rsid w:val="00527A9F"/>
    <w:rsid w:val="005307F0"/>
    <w:rsid w:val="00531B27"/>
    <w:rsid w:val="0053303E"/>
    <w:rsid w:val="00533E4B"/>
    <w:rsid w:val="00535B7F"/>
    <w:rsid w:val="0053724B"/>
    <w:rsid w:val="00540AF2"/>
    <w:rsid w:val="0054336E"/>
    <w:rsid w:val="00543629"/>
    <w:rsid w:val="00545422"/>
    <w:rsid w:val="00551A49"/>
    <w:rsid w:val="00553427"/>
    <w:rsid w:val="0055348B"/>
    <w:rsid w:val="00553D9F"/>
    <w:rsid w:val="005541BE"/>
    <w:rsid w:val="00555073"/>
    <w:rsid w:val="00555875"/>
    <w:rsid w:val="00556252"/>
    <w:rsid w:val="0056013C"/>
    <w:rsid w:val="005605A5"/>
    <w:rsid w:val="00562133"/>
    <w:rsid w:val="00562261"/>
    <w:rsid w:val="00564D62"/>
    <w:rsid w:val="005650EB"/>
    <w:rsid w:val="00565F58"/>
    <w:rsid w:val="0056745D"/>
    <w:rsid w:val="00570EA3"/>
    <w:rsid w:val="00571004"/>
    <w:rsid w:val="005713C3"/>
    <w:rsid w:val="0057261A"/>
    <w:rsid w:val="005726BB"/>
    <w:rsid w:val="00572854"/>
    <w:rsid w:val="00574A54"/>
    <w:rsid w:val="00574DB7"/>
    <w:rsid w:val="00575338"/>
    <w:rsid w:val="005759C6"/>
    <w:rsid w:val="00576627"/>
    <w:rsid w:val="0057757A"/>
    <w:rsid w:val="005813AF"/>
    <w:rsid w:val="005837D3"/>
    <w:rsid w:val="00585241"/>
    <w:rsid w:val="00586115"/>
    <w:rsid w:val="00590AD7"/>
    <w:rsid w:val="00591F0A"/>
    <w:rsid w:val="005957EA"/>
    <w:rsid w:val="005968E4"/>
    <w:rsid w:val="005A0FF2"/>
    <w:rsid w:val="005A11DA"/>
    <w:rsid w:val="005A1B1C"/>
    <w:rsid w:val="005B06FA"/>
    <w:rsid w:val="005B18A6"/>
    <w:rsid w:val="005B2C0B"/>
    <w:rsid w:val="005B2F8B"/>
    <w:rsid w:val="005B3134"/>
    <w:rsid w:val="005B3BB5"/>
    <w:rsid w:val="005B504B"/>
    <w:rsid w:val="005B5258"/>
    <w:rsid w:val="005B6E31"/>
    <w:rsid w:val="005B745E"/>
    <w:rsid w:val="005B7866"/>
    <w:rsid w:val="005B7A6C"/>
    <w:rsid w:val="005C08D2"/>
    <w:rsid w:val="005C2601"/>
    <w:rsid w:val="005C29F2"/>
    <w:rsid w:val="005C700E"/>
    <w:rsid w:val="005C7F14"/>
    <w:rsid w:val="005D06C8"/>
    <w:rsid w:val="005D247B"/>
    <w:rsid w:val="005D3BCA"/>
    <w:rsid w:val="005D3F9B"/>
    <w:rsid w:val="005D44CD"/>
    <w:rsid w:val="005D56AA"/>
    <w:rsid w:val="005D66A2"/>
    <w:rsid w:val="005E3C41"/>
    <w:rsid w:val="005E7253"/>
    <w:rsid w:val="005F04E4"/>
    <w:rsid w:val="005F0926"/>
    <w:rsid w:val="005F24AD"/>
    <w:rsid w:val="005F348B"/>
    <w:rsid w:val="005F4730"/>
    <w:rsid w:val="005F642D"/>
    <w:rsid w:val="005F652E"/>
    <w:rsid w:val="005F787E"/>
    <w:rsid w:val="006012A9"/>
    <w:rsid w:val="0060155F"/>
    <w:rsid w:val="00601985"/>
    <w:rsid w:val="00602D70"/>
    <w:rsid w:val="00603461"/>
    <w:rsid w:val="006038A1"/>
    <w:rsid w:val="00604893"/>
    <w:rsid w:val="00604E77"/>
    <w:rsid w:val="006051F1"/>
    <w:rsid w:val="00611D65"/>
    <w:rsid w:val="00614347"/>
    <w:rsid w:val="006178E3"/>
    <w:rsid w:val="00617CFA"/>
    <w:rsid w:val="00624E46"/>
    <w:rsid w:val="006253F8"/>
    <w:rsid w:val="006332C5"/>
    <w:rsid w:val="00634295"/>
    <w:rsid w:val="006344A3"/>
    <w:rsid w:val="00635555"/>
    <w:rsid w:val="00636599"/>
    <w:rsid w:val="00641942"/>
    <w:rsid w:val="00642A1E"/>
    <w:rsid w:val="006456DE"/>
    <w:rsid w:val="0064760C"/>
    <w:rsid w:val="00647F45"/>
    <w:rsid w:val="00652DE5"/>
    <w:rsid w:val="00661AB1"/>
    <w:rsid w:val="00662A34"/>
    <w:rsid w:val="00664B5C"/>
    <w:rsid w:val="00673130"/>
    <w:rsid w:val="006741FC"/>
    <w:rsid w:val="00682896"/>
    <w:rsid w:val="00682946"/>
    <w:rsid w:val="00682F7F"/>
    <w:rsid w:val="0068382F"/>
    <w:rsid w:val="0068673C"/>
    <w:rsid w:val="00687939"/>
    <w:rsid w:val="006906C1"/>
    <w:rsid w:val="00691102"/>
    <w:rsid w:val="006932B6"/>
    <w:rsid w:val="00693AC7"/>
    <w:rsid w:val="00697D41"/>
    <w:rsid w:val="00697FBE"/>
    <w:rsid w:val="006A0EAF"/>
    <w:rsid w:val="006A2759"/>
    <w:rsid w:val="006A3A83"/>
    <w:rsid w:val="006A5016"/>
    <w:rsid w:val="006A5470"/>
    <w:rsid w:val="006B00F5"/>
    <w:rsid w:val="006B0C0B"/>
    <w:rsid w:val="006B0F01"/>
    <w:rsid w:val="006B1702"/>
    <w:rsid w:val="006B17A5"/>
    <w:rsid w:val="006B1D4C"/>
    <w:rsid w:val="006B4180"/>
    <w:rsid w:val="006B4AE5"/>
    <w:rsid w:val="006B4B88"/>
    <w:rsid w:val="006B500B"/>
    <w:rsid w:val="006B5C61"/>
    <w:rsid w:val="006B678E"/>
    <w:rsid w:val="006B68C9"/>
    <w:rsid w:val="006C0D9E"/>
    <w:rsid w:val="006C1D3E"/>
    <w:rsid w:val="006C6BCD"/>
    <w:rsid w:val="006D01F5"/>
    <w:rsid w:val="006D1090"/>
    <w:rsid w:val="006D2944"/>
    <w:rsid w:val="006D3EA4"/>
    <w:rsid w:val="006D5D96"/>
    <w:rsid w:val="006D7900"/>
    <w:rsid w:val="006E0D09"/>
    <w:rsid w:val="006E3C13"/>
    <w:rsid w:val="006E41CB"/>
    <w:rsid w:val="006E52A2"/>
    <w:rsid w:val="006E65EF"/>
    <w:rsid w:val="006E6A9D"/>
    <w:rsid w:val="006E760C"/>
    <w:rsid w:val="006E7DAA"/>
    <w:rsid w:val="006F5FDD"/>
    <w:rsid w:val="006F6031"/>
    <w:rsid w:val="006F6822"/>
    <w:rsid w:val="006F68E0"/>
    <w:rsid w:val="006F7A96"/>
    <w:rsid w:val="006F7CC0"/>
    <w:rsid w:val="00706BEE"/>
    <w:rsid w:val="00707DA7"/>
    <w:rsid w:val="00715B17"/>
    <w:rsid w:val="00715BAF"/>
    <w:rsid w:val="007162E0"/>
    <w:rsid w:val="007171B8"/>
    <w:rsid w:val="007172B0"/>
    <w:rsid w:val="00720373"/>
    <w:rsid w:val="007226FD"/>
    <w:rsid w:val="007241C8"/>
    <w:rsid w:val="007269D4"/>
    <w:rsid w:val="00726FE1"/>
    <w:rsid w:val="00731DD2"/>
    <w:rsid w:val="00732A0A"/>
    <w:rsid w:val="0073524D"/>
    <w:rsid w:val="007355AB"/>
    <w:rsid w:val="00735819"/>
    <w:rsid w:val="00736B56"/>
    <w:rsid w:val="0074313C"/>
    <w:rsid w:val="007446D2"/>
    <w:rsid w:val="00745149"/>
    <w:rsid w:val="0074543D"/>
    <w:rsid w:val="007454B7"/>
    <w:rsid w:val="00745FE5"/>
    <w:rsid w:val="007461AA"/>
    <w:rsid w:val="007464EF"/>
    <w:rsid w:val="00750A36"/>
    <w:rsid w:val="00751678"/>
    <w:rsid w:val="00752625"/>
    <w:rsid w:val="007554EC"/>
    <w:rsid w:val="007557BE"/>
    <w:rsid w:val="00755E75"/>
    <w:rsid w:val="007604D9"/>
    <w:rsid w:val="00760E5C"/>
    <w:rsid w:val="00761C15"/>
    <w:rsid w:val="00762B52"/>
    <w:rsid w:val="00764D3A"/>
    <w:rsid w:val="00764E93"/>
    <w:rsid w:val="0077122B"/>
    <w:rsid w:val="00772195"/>
    <w:rsid w:val="00772C4C"/>
    <w:rsid w:val="00772DEE"/>
    <w:rsid w:val="00773271"/>
    <w:rsid w:val="00773AA0"/>
    <w:rsid w:val="00781627"/>
    <w:rsid w:val="00782340"/>
    <w:rsid w:val="007829D6"/>
    <w:rsid w:val="00783E15"/>
    <w:rsid w:val="00784C8C"/>
    <w:rsid w:val="00786AC8"/>
    <w:rsid w:val="0078734E"/>
    <w:rsid w:val="007903DE"/>
    <w:rsid w:val="00790D0A"/>
    <w:rsid w:val="007924D0"/>
    <w:rsid w:val="00793210"/>
    <w:rsid w:val="0079499E"/>
    <w:rsid w:val="00794EDA"/>
    <w:rsid w:val="00797A88"/>
    <w:rsid w:val="007A2196"/>
    <w:rsid w:val="007B02A8"/>
    <w:rsid w:val="007B1841"/>
    <w:rsid w:val="007B318D"/>
    <w:rsid w:val="007B3A9C"/>
    <w:rsid w:val="007B4198"/>
    <w:rsid w:val="007B55F1"/>
    <w:rsid w:val="007C205A"/>
    <w:rsid w:val="007C3003"/>
    <w:rsid w:val="007C4EE6"/>
    <w:rsid w:val="007C7306"/>
    <w:rsid w:val="007C7341"/>
    <w:rsid w:val="007C798D"/>
    <w:rsid w:val="007D07D2"/>
    <w:rsid w:val="007D2242"/>
    <w:rsid w:val="007D2598"/>
    <w:rsid w:val="007D28BC"/>
    <w:rsid w:val="007D30AC"/>
    <w:rsid w:val="007D3B10"/>
    <w:rsid w:val="007D4BF7"/>
    <w:rsid w:val="007D58DC"/>
    <w:rsid w:val="007E0751"/>
    <w:rsid w:val="007E2A6D"/>
    <w:rsid w:val="007E4ED2"/>
    <w:rsid w:val="007E5146"/>
    <w:rsid w:val="007E6352"/>
    <w:rsid w:val="007E68B7"/>
    <w:rsid w:val="007E74C0"/>
    <w:rsid w:val="007F1C6A"/>
    <w:rsid w:val="007F1D29"/>
    <w:rsid w:val="007F2556"/>
    <w:rsid w:val="007F3A8D"/>
    <w:rsid w:val="007F54FD"/>
    <w:rsid w:val="007F6494"/>
    <w:rsid w:val="0080199C"/>
    <w:rsid w:val="00802A22"/>
    <w:rsid w:val="00805A2C"/>
    <w:rsid w:val="00805C1D"/>
    <w:rsid w:val="008068AC"/>
    <w:rsid w:val="00807197"/>
    <w:rsid w:val="0080744F"/>
    <w:rsid w:val="00813065"/>
    <w:rsid w:val="00815889"/>
    <w:rsid w:val="008165D9"/>
    <w:rsid w:val="008171B1"/>
    <w:rsid w:val="008209A6"/>
    <w:rsid w:val="008212BB"/>
    <w:rsid w:val="00822E7A"/>
    <w:rsid w:val="0082451B"/>
    <w:rsid w:val="00824948"/>
    <w:rsid w:val="008304A6"/>
    <w:rsid w:val="0083075A"/>
    <w:rsid w:val="0083210C"/>
    <w:rsid w:val="00832408"/>
    <w:rsid w:val="00832EBD"/>
    <w:rsid w:val="008352B3"/>
    <w:rsid w:val="00835E5A"/>
    <w:rsid w:val="00836F08"/>
    <w:rsid w:val="00843A76"/>
    <w:rsid w:val="00846FB2"/>
    <w:rsid w:val="0084717F"/>
    <w:rsid w:val="00850044"/>
    <w:rsid w:val="008512E9"/>
    <w:rsid w:val="00852255"/>
    <w:rsid w:val="00854F24"/>
    <w:rsid w:val="00855D1A"/>
    <w:rsid w:val="0085768D"/>
    <w:rsid w:val="00860C57"/>
    <w:rsid w:val="00862466"/>
    <w:rsid w:val="0086305F"/>
    <w:rsid w:val="0086321E"/>
    <w:rsid w:val="00864BCA"/>
    <w:rsid w:val="008654F4"/>
    <w:rsid w:val="0087091D"/>
    <w:rsid w:val="008719BB"/>
    <w:rsid w:val="00872C8A"/>
    <w:rsid w:val="00875DB0"/>
    <w:rsid w:val="00876E73"/>
    <w:rsid w:val="008809B8"/>
    <w:rsid w:val="00883904"/>
    <w:rsid w:val="008840EA"/>
    <w:rsid w:val="008845C7"/>
    <w:rsid w:val="008849DA"/>
    <w:rsid w:val="00884CF0"/>
    <w:rsid w:val="0088524B"/>
    <w:rsid w:val="00887C4D"/>
    <w:rsid w:val="00891265"/>
    <w:rsid w:val="00891593"/>
    <w:rsid w:val="008933A5"/>
    <w:rsid w:val="0089415E"/>
    <w:rsid w:val="008952ED"/>
    <w:rsid w:val="008954C6"/>
    <w:rsid w:val="0089591F"/>
    <w:rsid w:val="008963DB"/>
    <w:rsid w:val="0089642B"/>
    <w:rsid w:val="008A0419"/>
    <w:rsid w:val="008A0EDE"/>
    <w:rsid w:val="008A1511"/>
    <w:rsid w:val="008A21E1"/>
    <w:rsid w:val="008A2C04"/>
    <w:rsid w:val="008A2CCC"/>
    <w:rsid w:val="008A4198"/>
    <w:rsid w:val="008A5288"/>
    <w:rsid w:val="008A5A0A"/>
    <w:rsid w:val="008A754D"/>
    <w:rsid w:val="008B1F8F"/>
    <w:rsid w:val="008B27B4"/>
    <w:rsid w:val="008B3065"/>
    <w:rsid w:val="008B3931"/>
    <w:rsid w:val="008C10FC"/>
    <w:rsid w:val="008C12D1"/>
    <w:rsid w:val="008C44CA"/>
    <w:rsid w:val="008D10A0"/>
    <w:rsid w:val="008D2877"/>
    <w:rsid w:val="008D3DBA"/>
    <w:rsid w:val="008D587F"/>
    <w:rsid w:val="008D614A"/>
    <w:rsid w:val="008D6268"/>
    <w:rsid w:val="008D7C8B"/>
    <w:rsid w:val="008E2B1A"/>
    <w:rsid w:val="008E336C"/>
    <w:rsid w:val="008E4572"/>
    <w:rsid w:val="008E6B23"/>
    <w:rsid w:val="008E71B1"/>
    <w:rsid w:val="008F04B3"/>
    <w:rsid w:val="008F0776"/>
    <w:rsid w:val="008F3E88"/>
    <w:rsid w:val="00901C19"/>
    <w:rsid w:val="00901EA7"/>
    <w:rsid w:val="0090375A"/>
    <w:rsid w:val="00903BDF"/>
    <w:rsid w:val="00904728"/>
    <w:rsid w:val="00904897"/>
    <w:rsid w:val="009052C4"/>
    <w:rsid w:val="009052FD"/>
    <w:rsid w:val="009065F2"/>
    <w:rsid w:val="00907C2C"/>
    <w:rsid w:val="00907F41"/>
    <w:rsid w:val="00911C22"/>
    <w:rsid w:val="00912233"/>
    <w:rsid w:val="00915331"/>
    <w:rsid w:val="00916AE0"/>
    <w:rsid w:val="0092147E"/>
    <w:rsid w:val="00922C26"/>
    <w:rsid w:val="009235A4"/>
    <w:rsid w:val="00923816"/>
    <w:rsid w:val="00931586"/>
    <w:rsid w:val="009351E0"/>
    <w:rsid w:val="00935418"/>
    <w:rsid w:val="00936136"/>
    <w:rsid w:val="0093791E"/>
    <w:rsid w:val="009419C9"/>
    <w:rsid w:val="00950C11"/>
    <w:rsid w:val="009512D1"/>
    <w:rsid w:val="00951878"/>
    <w:rsid w:val="00952725"/>
    <w:rsid w:val="00955A4C"/>
    <w:rsid w:val="0096031A"/>
    <w:rsid w:val="0096123E"/>
    <w:rsid w:val="00962CAD"/>
    <w:rsid w:val="009638B2"/>
    <w:rsid w:val="00964905"/>
    <w:rsid w:val="009664DC"/>
    <w:rsid w:val="009679F1"/>
    <w:rsid w:val="009679FB"/>
    <w:rsid w:val="009705C8"/>
    <w:rsid w:val="00971331"/>
    <w:rsid w:val="00971FA9"/>
    <w:rsid w:val="009727B6"/>
    <w:rsid w:val="00974762"/>
    <w:rsid w:val="009751C9"/>
    <w:rsid w:val="00980865"/>
    <w:rsid w:val="00980AE5"/>
    <w:rsid w:val="00982790"/>
    <w:rsid w:val="00984523"/>
    <w:rsid w:val="009865A1"/>
    <w:rsid w:val="009908A3"/>
    <w:rsid w:val="00995F40"/>
    <w:rsid w:val="00997620"/>
    <w:rsid w:val="009A044E"/>
    <w:rsid w:val="009A0D7D"/>
    <w:rsid w:val="009A18D6"/>
    <w:rsid w:val="009A5799"/>
    <w:rsid w:val="009A6EFC"/>
    <w:rsid w:val="009A7A85"/>
    <w:rsid w:val="009B1C08"/>
    <w:rsid w:val="009B1E82"/>
    <w:rsid w:val="009B34A1"/>
    <w:rsid w:val="009B5669"/>
    <w:rsid w:val="009C486A"/>
    <w:rsid w:val="009C4D3A"/>
    <w:rsid w:val="009C5378"/>
    <w:rsid w:val="009C5DAC"/>
    <w:rsid w:val="009C637A"/>
    <w:rsid w:val="009D066E"/>
    <w:rsid w:val="009D0676"/>
    <w:rsid w:val="009D52F1"/>
    <w:rsid w:val="009D5CF4"/>
    <w:rsid w:val="009D676F"/>
    <w:rsid w:val="009E1063"/>
    <w:rsid w:val="009E2E87"/>
    <w:rsid w:val="009E2F19"/>
    <w:rsid w:val="009E32B6"/>
    <w:rsid w:val="009E7571"/>
    <w:rsid w:val="009F0AF1"/>
    <w:rsid w:val="009F1589"/>
    <w:rsid w:val="009F27BC"/>
    <w:rsid w:val="009F3861"/>
    <w:rsid w:val="009F5887"/>
    <w:rsid w:val="009F6736"/>
    <w:rsid w:val="00A00A35"/>
    <w:rsid w:val="00A00FDE"/>
    <w:rsid w:val="00A02634"/>
    <w:rsid w:val="00A03A32"/>
    <w:rsid w:val="00A05B19"/>
    <w:rsid w:val="00A06339"/>
    <w:rsid w:val="00A07337"/>
    <w:rsid w:val="00A11D29"/>
    <w:rsid w:val="00A12CC8"/>
    <w:rsid w:val="00A1324E"/>
    <w:rsid w:val="00A14393"/>
    <w:rsid w:val="00A154B1"/>
    <w:rsid w:val="00A16DD6"/>
    <w:rsid w:val="00A177B2"/>
    <w:rsid w:val="00A17F2B"/>
    <w:rsid w:val="00A2217F"/>
    <w:rsid w:val="00A2277F"/>
    <w:rsid w:val="00A24334"/>
    <w:rsid w:val="00A24D7D"/>
    <w:rsid w:val="00A25330"/>
    <w:rsid w:val="00A32979"/>
    <w:rsid w:val="00A343ED"/>
    <w:rsid w:val="00A34701"/>
    <w:rsid w:val="00A34C61"/>
    <w:rsid w:val="00A34D01"/>
    <w:rsid w:val="00A35AFB"/>
    <w:rsid w:val="00A376F7"/>
    <w:rsid w:val="00A432FA"/>
    <w:rsid w:val="00A437C9"/>
    <w:rsid w:val="00A4730A"/>
    <w:rsid w:val="00A4731F"/>
    <w:rsid w:val="00A51832"/>
    <w:rsid w:val="00A6125D"/>
    <w:rsid w:val="00A66F72"/>
    <w:rsid w:val="00A67239"/>
    <w:rsid w:val="00A702BE"/>
    <w:rsid w:val="00A70495"/>
    <w:rsid w:val="00A72F4B"/>
    <w:rsid w:val="00A73213"/>
    <w:rsid w:val="00A83B79"/>
    <w:rsid w:val="00A84A9F"/>
    <w:rsid w:val="00A85C71"/>
    <w:rsid w:val="00A950EC"/>
    <w:rsid w:val="00A97B32"/>
    <w:rsid w:val="00AA65C0"/>
    <w:rsid w:val="00AA7E64"/>
    <w:rsid w:val="00AB024C"/>
    <w:rsid w:val="00AB5512"/>
    <w:rsid w:val="00AC3D74"/>
    <w:rsid w:val="00AC6BC0"/>
    <w:rsid w:val="00AC7542"/>
    <w:rsid w:val="00AD126C"/>
    <w:rsid w:val="00AD1589"/>
    <w:rsid w:val="00AD3448"/>
    <w:rsid w:val="00AD69E9"/>
    <w:rsid w:val="00AE42B1"/>
    <w:rsid w:val="00AE4563"/>
    <w:rsid w:val="00AF3D3A"/>
    <w:rsid w:val="00B0028F"/>
    <w:rsid w:val="00B02051"/>
    <w:rsid w:val="00B06363"/>
    <w:rsid w:val="00B07CB9"/>
    <w:rsid w:val="00B113A8"/>
    <w:rsid w:val="00B1614B"/>
    <w:rsid w:val="00B16498"/>
    <w:rsid w:val="00B260A8"/>
    <w:rsid w:val="00B27F2C"/>
    <w:rsid w:val="00B30502"/>
    <w:rsid w:val="00B3051B"/>
    <w:rsid w:val="00B31704"/>
    <w:rsid w:val="00B33BA0"/>
    <w:rsid w:val="00B34C6B"/>
    <w:rsid w:val="00B34DBD"/>
    <w:rsid w:val="00B375AD"/>
    <w:rsid w:val="00B402E9"/>
    <w:rsid w:val="00B40451"/>
    <w:rsid w:val="00B425AA"/>
    <w:rsid w:val="00B42E3E"/>
    <w:rsid w:val="00B4725A"/>
    <w:rsid w:val="00B47ABD"/>
    <w:rsid w:val="00B515EB"/>
    <w:rsid w:val="00B5210D"/>
    <w:rsid w:val="00B53BAC"/>
    <w:rsid w:val="00B55C31"/>
    <w:rsid w:val="00B56299"/>
    <w:rsid w:val="00B56C7E"/>
    <w:rsid w:val="00B57C6E"/>
    <w:rsid w:val="00B60E95"/>
    <w:rsid w:val="00B6359B"/>
    <w:rsid w:val="00B6472E"/>
    <w:rsid w:val="00B674AD"/>
    <w:rsid w:val="00B67A2F"/>
    <w:rsid w:val="00B7045C"/>
    <w:rsid w:val="00B70983"/>
    <w:rsid w:val="00B725BF"/>
    <w:rsid w:val="00B72F17"/>
    <w:rsid w:val="00B733A3"/>
    <w:rsid w:val="00B74A3C"/>
    <w:rsid w:val="00B74EC1"/>
    <w:rsid w:val="00B76A61"/>
    <w:rsid w:val="00B801E5"/>
    <w:rsid w:val="00B84DDD"/>
    <w:rsid w:val="00B863F3"/>
    <w:rsid w:val="00B86567"/>
    <w:rsid w:val="00B8685B"/>
    <w:rsid w:val="00B86CE9"/>
    <w:rsid w:val="00B87C36"/>
    <w:rsid w:val="00B87FCB"/>
    <w:rsid w:val="00B91C35"/>
    <w:rsid w:val="00B91DF6"/>
    <w:rsid w:val="00B928D2"/>
    <w:rsid w:val="00B9341B"/>
    <w:rsid w:val="00B9536C"/>
    <w:rsid w:val="00B9685F"/>
    <w:rsid w:val="00B96FB4"/>
    <w:rsid w:val="00B97F4C"/>
    <w:rsid w:val="00BA4B0B"/>
    <w:rsid w:val="00BA4C97"/>
    <w:rsid w:val="00BA5BC2"/>
    <w:rsid w:val="00BA7F3B"/>
    <w:rsid w:val="00BB0E87"/>
    <w:rsid w:val="00BB2635"/>
    <w:rsid w:val="00BB47C2"/>
    <w:rsid w:val="00BB5711"/>
    <w:rsid w:val="00BC0D2D"/>
    <w:rsid w:val="00BC2153"/>
    <w:rsid w:val="00BC364F"/>
    <w:rsid w:val="00BC7B6D"/>
    <w:rsid w:val="00BD1DBF"/>
    <w:rsid w:val="00BD2B8D"/>
    <w:rsid w:val="00BD3458"/>
    <w:rsid w:val="00BD35D5"/>
    <w:rsid w:val="00BD5A57"/>
    <w:rsid w:val="00BE01D3"/>
    <w:rsid w:val="00BE0D65"/>
    <w:rsid w:val="00BE190B"/>
    <w:rsid w:val="00BE22FC"/>
    <w:rsid w:val="00BE3B6C"/>
    <w:rsid w:val="00BF083C"/>
    <w:rsid w:val="00BF4C21"/>
    <w:rsid w:val="00BF5C0A"/>
    <w:rsid w:val="00BF7353"/>
    <w:rsid w:val="00C000B8"/>
    <w:rsid w:val="00C00F60"/>
    <w:rsid w:val="00C01276"/>
    <w:rsid w:val="00C024E2"/>
    <w:rsid w:val="00C02ABF"/>
    <w:rsid w:val="00C02D96"/>
    <w:rsid w:val="00C0315C"/>
    <w:rsid w:val="00C04F0F"/>
    <w:rsid w:val="00C05272"/>
    <w:rsid w:val="00C0598E"/>
    <w:rsid w:val="00C07252"/>
    <w:rsid w:val="00C10213"/>
    <w:rsid w:val="00C10311"/>
    <w:rsid w:val="00C110E3"/>
    <w:rsid w:val="00C118BE"/>
    <w:rsid w:val="00C11C2B"/>
    <w:rsid w:val="00C11C95"/>
    <w:rsid w:val="00C1277B"/>
    <w:rsid w:val="00C14EC2"/>
    <w:rsid w:val="00C16622"/>
    <w:rsid w:val="00C179C5"/>
    <w:rsid w:val="00C17EAA"/>
    <w:rsid w:val="00C21C54"/>
    <w:rsid w:val="00C239F5"/>
    <w:rsid w:val="00C253C4"/>
    <w:rsid w:val="00C2618A"/>
    <w:rsid w:val="00C267EA"/>
    <w:rsid w:val="00C2781F"/>
    <w:rsid w:val="00C27FD0"/>
    <w:rsid w:val="00C30DDD"/>
    <w:rsid w:val="00C350B1"/>
    <w:rsid w:val="00C4096A"/>
    <w:rsid w:val="00C42DBC"/>
    <w:rsid w:val="00C43612"/>
    <w:rsid w:val="00C442FE"/>
    <w:rsid w:val="00C44D1E"/>
    <w:rsid w:val="00C501C8"/>
    <w:rsid w:val="00C52BB3"/>
    <w:rsid w:val="00C532A9"/>
    <w:rsid w:val="00C53412"/>
    <w:rsid w:val="00C574DE"/>
    <w:rsid w:val="00C60279"/>
    <w:rsid w:val="00C62515"/>
    <w:rsid w:val="00C648AE"/>
    <w:rsid w:val="00C6546E"/>
    <w:rsid w:val="00C65852"/>
    <w:rsid w:val="00C70E68"/>
    <w:rsid w:val="00C7343A"/>
    <w:rsid w:val="00C75458"/>
    <w:rsid w:val="00C76465"/>
    <w:rsid w:val="00C80F93"/>
    <w:rsid w:val="00C8334F"/>
    <w:rsid w:val="00C90309"/>
    <w:rsid w:val="00C908CB"/>
    <w:rsid w:val="00C93016"/>
    <w:rsid w:val="00C93827"/>
    <w:rsid w:val="00C9546F"/>
    <w:rsid w:val="00C961EA"/>
    <w:rsid w:val="00C97900"/>
    <w:rsid w:val="00CA1729"/>
    <w:rsid w:val="00CA49AD"/>
    <w:rsid w:val="00CA4A2A"/>
    <w:rsid w:val="00CA62FD"/>
    <w:rsid w:val="00CA6C22"/>
    <w:rsid w:val="00CA7DFB"/>
    <w:rsid w:val="00CB0572"/>
    <w:rsid w:val="00CB0B8B"/>
    <w:rsid w:val="00CB10D8"/>
    <w:rsid w:val="00CB1E2C"/>
    <w:rsid w:val="00CB2973"/>
    <w:rsid w:val="00CB50F6"/>
    <w:rsid w:val="00CB538B"/>
    <w:rsid w:val="00CB5785"/>
    <w:rsid w:val="00CB7932"/>
    <w:rsid w:val="00CC017F"/>
    <w:rsid w:val="00CC034E"/>
    <w:rsid w:val="00CC1AEF"/>
    <w:rsid w:val="00CC4B56"/>
    <w:rsid w:val="00CC688E"/>
    <w:rsid w:val="00CD0BB9"/>
    <w:rsid w:val="00CD0ED2"/>
    <w:rsid w:val="00CD21A5"/>
    <w:rsid w:val="00CD39BF"/>
    <w:rsid w:val="00CD4439"/>
    <w:rsid w:val="00CD4ADF"/>
    <w:rsid w:val="00CD7A05"/>
    <w:rsid w:val="00CE0AC5"/>
    <w:rsid w:val="00CE0B6B"/>
    <w:rsid w:val="00CE14D0"/>
    <w:rsid w:val="00CE4D05"/>
    <w:rsid w:val="00CE4F5A"/>
    <w:rsid w:val="00CE5BC0"/>
    <w:rsid w:val="00CE5F32"/>
    <w:rsid w:val="00CE739F"/>
    <w:rsid w:val="00CF5C78"/>
    <w:rsid w:val="00CF5E31"/>
    <w:rsid w:val="00CF6D06"/>
    <w:rsid w:val="00CF774A"/>
    <w:rsid w:val="00D024CF"/>
    <w:rsid w:val="00D10882"/>
    <w:rsid w:val="00D123D3"/>
    <w:rsid w:val="00D12A82"/>
    <w:rsid w:val="00D1414B"/>
    <w:rsid w:val="00D159F7"/>
    <w:rsid w:val="00D15C75"/>
    <w:rsid w:val="00D17D99"/>
    <w:rsid w:val="00D2354E"/>
    <w:rsid w:val="00D2424B"/>
    <w:rsid w:val="00D312A5"/>
    <w:rsid w:val="00D31557"/>
    <w:rsid w:val="00D339EB"/>
    <w:rsid w:val="00D34369"/>
    <w:rsid w:val="00D34563"/>
    <w:rsid w:val="00D346BC"/>
    <w:rsid w:val="00D35FB0"/>
    <w:rsid w:val="00D36713"/>
    <w:rsid w:val="00D40B94"/>
    <w:rsid w:val="00D43948"/>
    <w:rsid w:val="00D52141"/>
    <w:rsid w:val="00D52484"/>
    <w:rsid w:val="00D52E61"/>
    <w:rsid w:val="00D5700A"/>
    <w:rsid w:val="00D570D9"/>
    <w:rsid w:val="00D60585"/>
    <w:rsid w:val="00D60C41"/>
    <w:rsid w:val="00D62EF8"/>
    <w:rsid w:val="00D65080"/>
    <w:rsid w:val="00D65D94"/>
    <w:rsid w:val="00D675D6"/>
    <w:rsid w:val="00D71AF2"/>
    <w:rsid w:val="00D74AD4"/>
    <w:rsid w:val="00D75458"/>
    <w:rsid w:val="00D758FB"/>
    <w:rsid w:val="00D76542"/>
    <w:rsid w:val="00D76F06"/>
    <w:rsid w:val="00D77135"/>
    <w:rsid w:val="00D813BB"/>
    <w:rsid w:val="00D827DD"/>
    <w:rsid w:val="00D831F5"/>
    <w:rsid w:val="00D83EB2"/>
    <w:rsid w:val="00D84631"/>
    <w:rsid w:val="00D8522C"/>
    <w:rsid w:val="00D8553E"/>
    <w:rsid w:val="00D8695F"/>
    <w:rsid w:val="00D86CE9"/>
    <w:rsid w:val="00D86EDC"/>
    <w:rsid w:val="00D914D6"/>
    <w:rsid w:val="00D91B26"/>
    <w:rsid w:val="00D963D7"/>
    <w:rsid w:val="00D96508"/>
    <w:rsid w:val="00DA4994"/>
    <w:rsid w:val="00DB2588"/>
    <w:rsid w:val="00DB2BE4"/>
    <w:rsid w:val="00DB354F"/>
    <w:rsid w:val="00DB4BB1"/>
    <w:rsid w:val="00DB4D0C"/>
    <w:rsid w:val="00DB79F3"/>
    <w:rsid w:val="00DC013F"/>
    <w:rsid w:val="00DC1388"/>
    <w:rsid w:val="00DC37F1"/>
    <w:rsid w:val="00DC5C96"/>
    <w:rsid w:val="00DC6303"/>
    <w:rsid w:val="00DC6B9A"/>
    <w:rsid w:val="00DD0587"/>
    <w:rsid w:val="00DD303F"/>
    <w:rsid w:val="00DD327B"/>
    <w:rsid w:val="00DD3C19"/>
    <w:rsid w:val="00DD6908"/>
    <w:rsid w:val="00DD6B6C"/>
    <w:rsid w:val="00DE01E8"/>
    <w:rsid w:val="00DE053E"/>
    <w:rsid w:val="00DE08FE"/>
    <w:rsid w:val="00DE2B74"/>
    <w:rsid w:val="00DE678C"/>
    <w:rsid w:val="00DF1756"/>
    <w:rsid w:val="00DF1A5D"/>
    <w:rsid w:val="00DF299A"/>
    <w:rsid w:val="00DF3CE7"/>
    <w:rsid w:val="00DF3FA7"/>
    <w:rsid w:val="00DF4377"/>
    <w:rsid w:val="00E01FFD"/>
    <w:rsid w:val="00E0234B"/>
    <w:rsid w:val="00E0372B"/>
    <w:rsid w:val="00E0528A"/>
    <w:rsid w:val="00E064B0"/>
    <w:rsid w:val="00E10D9D"/>
    <w:rsid w:val="00E13D24"/>
    <w:rsid w:val="00E14AFE"/>
    <w:rsid w:val="00E15B8C"/>
    <w:rsid w:val="00E1616F"/>
    <w:rsid w:val="00E210BA"/>
    <w:rsid w:val="00E24175"/>
    <w:rsid w:val="00E24216"/>
    <w:rsid w:val="00E2728A"/>
    <w:rsid w:val="00E31F98"/>
    <w:rsid w:val="00E3293A"/>
    <w:rsid w:val="00E32A31"/>
    <w:rsid w:val="00E340EB"/>
    <w:rsid w:val="00E367C1"/>
    <w:rsid w:val="00E36A06"/>
    <w:rsid w:val="00E37AB6"/>
    <w:rsid w:val="00E43A28"/>
    <w:rsid w:val="00E44DC3"/>
    <w:rsid w:val="00E4604F"/>
    <w:rsid w:val="00E46744"/>
    <w:rsid w:val="00E5122F"/>
    <w:rsid w:val="00E5674C"/>
    <w:rsid w:val="00E578D3"/>
    <w:rsid w:val="00E6590E"/>
    <w:rsid w:val="00E67C35"/>
    <w:rsid w:val="00E67E02"/>
    <w:rsid w:val="00E70C75"/>
    <w:rsid w:val="00E7136D"/>
    <w:rsid w:val="00E765E5"/>
    <w:rsid w:val="00E77A08"/>
    <w:rsid w:val="00E84C7A"/>
    <w:rsid w:val="00E9063F"/>
    <w:rsid w:val="00E938CF"/>
    <w:rsid w:val="00E94490"/>
    <w:rsid w:val="00EA13CE"/>
    <w:rsid w:val="00EA1A46"/>
    <w:rsid w:val="00EA2104"/>
    <w:rsid w:val="00EA314B"/>
    <w:rsid w:val="00EB04E0"/>
    <w:rsid w:val="00EB04E5"/>
    <w:rsid w:val="00EB1E4C"/>
    <w:rsid w:val="00EB27B9"/>
    <w:rsid w:val="00EB5965"/>
    <w:rsid w:val="00EB5E79"/>
    <w:rsid w:val="00EB604B"/>
    <w:rsid w:val="00EB79CE"/>
    <w:rsid w:val="00EC0059"/>
    <w:rsid w:val="00EC06C2"/>
    <w:rsid w:val="00EC177C"/>
    <w:rsid w:val="00EC2085"/>
    <w:rsid w:val="00EC2C18"/>
    <w:rsid w:val="00EC2CA4"/>
    <w:rsid w:val="00EC4EBA"/>
    <w:rsid w:val="00EC767F"/>
    <w:rsid w:val="00EC76DB"/>
    <w:rsid w:val="00EC7DAF"/>
    <w:rsid w:val="00EC7DC9"/>
    <w:rsid w:val="00EC7F00"/>
    <w:rsid w:val="00ED044A"/>
    <w:rsid w:val="00ED0C55"/>
    <w:rsid w:val="00ED2A73"/>
    <w:rsid w:val="00ED5516"/>
    <w:rsid w:val="00EE2A37"/>
    <w:rsid w:val="00EE2A41"/>
    <w:rsid w:val="00EE382A"/>
    <w:rsid w:val="00EE4483"/>
    <w:rsid w:val="00EE70D2"/>
    <w:rsid w:val="00EF1C6E"/>
    <w:rsid w:val="00EF4244"/>
    <w:rsid w:val="00EF5610"/>
    <w:rsid w:val="00EF5C3A"/>
    <w:rsid w:val="00F0224E"/>
    <w:rsid w:val="00F0416C"/>
    <w:rsid w:val="00F05902"/>
    <w:rsid w:val="00F068B4"/>
    <w:rsid w:val="00F108CE"/>
    <w:rsid w:val="00F11272"/>
    <w:rsid w:val="00F119EF"/>
    <w:rsid w:val="00F11B88"/>
    <w:rsid w:val="00F13136"/>
    <w:rsid w:val="00F14758"/>
    <w:rsid w:val="00F161AE"/>
    <w:rsid w:val="00F164B6"/>
    <w:rsid w:val="00F17764"/>
    <w:rsid w:val="00F205DA"/>
    <w:rsid w:val="00F21BE6"/>
    <w:rsid w:val="00F225AF"/>
    <w:rsid w:val="00F273D6"/>
    <w:rsid w:val="00F27E1B"/>
    <w:rsid w:val="00F3005C"/>
    <w:rsid w:val="00F3195D"/>
    <w:rsid w:val="00F322FE"/>
    <w:rsid w:val="00F3280C"/>
    <w:rsid w:val="00F32BA5"/>
    <w:rsid w:val="00F345C6"/>
    <w:rsid w:val="00F34EFE"/>
    <w:rsid w:val="00F378C0"/>
    <w:rsid w:val="00F4066C"/>
    <w:rsid w:val="00F40E53"/>
    <w:rsid w:val="00F430D1"/>
    <w:rsid w:val="00F433F1"/>
    <w:rsid w:val="00F44807"/>
    <w:rsid w:val="00F44D0F"/>
    <w:rsid w:val="00F46C73"/>
    <w:rsid w:val="00F50404"/>
    <w:rsid w:val="00F520B6"/>
    <w:rsid w:val="00F53484"/>
    <w:rsid w:val="00F54751"/>
    <w:rsid w:val="00F5652C"/>
    <w:rsid w:val="00F567F6"/>
    <w:rsid w:val="00F5753C"/>
    <w:rsid w:val="00F6633B"/>
    <w:rsid w:val="00F710BF"/>
    <w:rsid w:val="00F73058"/>
    <w:rsid w:val="00F76138"/>
    <w:rsid w:val="00F83CAE"/>
    <w:rsid w:val="00F848B4"/>
    <w:rsid w:val="00F85CD2"/>
    <w:rsid w:val="00F86468"/>
    <w:rsid w:val="00F90647"/>
    <w:rsid w:val="00F9159E"/>
    <w:rsid w:val="00F916FD"/>
    <w:rsid w:val="00F919A5"/>
    <w:rsid w:val="00F92550"/>
    <w:rsid w:val="00F92EC8"/>
    <w:rsid w:val="00F957E0"/>
    <w:rsid w:val="00F96D90"/>
    <w:rsid w:val="00F9799D"/>
    <w:rsid w:val="00FA2C06"/>
    <w:rsid w:val="00FA3789"/>
    <w:rsid w:val="00FA4496"/>
    <w:rsid w:val="00FA70E0"/>
    <w:rsid w:val="00FA71FB"/>
    <w:rsid w:val="00FB10CD"/>
    <w:rsid w:val="00FC1929"/>
    <w:rsid w:val="00FC49C4"/>
    <w:rsid w:val="00FD039A"/>
    <w:rsid w:val="00FD05BD"/>
    <w:rsid w:val="00FD07EF"/>
    <w:rsid w:val="00FD3D35"/>
    <w:rsid w:val="00FD45EA"/>
    <w:rsid w:val="00FD47CC"/>
    <w:rsid w:val="00FD6C25"/>
    <w:rsid w:val="00FE1479"/>
    <w:rsid w:val="00FE5EE0"/>
    <w:rsid w:val="00FE700E"/>
    <w:rsid w:val="00FE78DE"/>
    <w:rsid w:val="00FE7A0A"/>
    <w:rsid w:val="00FF2C3F"/>
    <w:rsid w:val="00FF37D4"/>
    <w:rsid w:val="00FF5DAF"/>
    <w:rsid w:val="00FF6306"/>
    <w:rsid w:val="01BC18BA"/>
    <w:rsid w:val="01CA2448"/>
    <w:rsid w:val="01D11D70"/>
    <w:rsid w:val="01E961EF"/>
    <w:rsid w:val="01FD6FA7"/>
    <w:rsid w:val="020868D3"/>
    <w:rsid w:val="02255825"/>
    <w:rsid w:val="022927EE"/>
    <w:rsid w:val="024C435B"/>
    <w:rsid w:val="02630F1D"/>
    <w:rsid w:val="029A0EF7"/>
    <w:rsid w:val="02BD1704"/>
    <w:rsid w:val="02EF7E07"/>
    <w:rsid w:val="038543AF"/>
    <w:rsid w:val="039A6492"/>
    <w:rsid w:val="03FD3851"/>
    <w:rsid w:val="04410CCC"/>
    <w:rsid w:val="044E0DBC"/>
    <w:rsid w:val="04754A8E"/>
    <w:rsid w:val="047730A5"/>
    <w:rsid w:val="04B92A8A"/>
    <w:rsid w:val="04E84898"/>
    <w:rsid w:val="05093AC1"/>
    <w:rsid w:val="05103157"/>
    <w:rsid w:val="056767C6"/>
    <w:rsid w:val="059E7C48"/>
    <w:rsid w:val="05D01A63"/>
    <w:rsid w:val="065018C0"/>
    <w:rsid w:val="06C75AA3"/>
    <w:rsid w:val="06C97AB1"/>
    <w:rsid w:val="06D23769"/>
    <w:rsid w:val="06E16A66"/>
    <w:rsid w:val="06E40D7A"/>
    <w:rsid w:val="0752659B"/>
    <w:rsid w:val="076A00AB"/>
    <w:rsid w:val="07836AE5"/>
    <w:rsid w:val="079E13F0"/>
    <w:rsid w:val="07E75B99"/>
    <w:rsid w:val="07E85FB5"/>
    <w:rsid w:val="07F70533"/>
    <w:rsid w:val="07F9386A"/>
    <w:rsid w:val="08527CB4"/>
    <w:rsid w:val="089B25A8"/>
    <w:rsid w:val="09BA3249"/>
    <w:rsid w:val="0A071B13"/>
    <w:rsid w:val="0A975B9B"/>
    <w:rsid w:val="0AAB5A9A"/>
    <w:rsid w:val="0ABF1027"/>
    <w:rsid w:val="0AEB6F85"/>
    <w:rsid w:val="0B5A3B7A"/>
    <w:rsid w:val="0B6F1EB1"/>
    <w:rsid w:val="0B896FA4"/>
    <w:rsid w:val="0B8C331B"/>
    <w:rsid w:val="0C294A1C"/>
    <w:rsid w:val="0C754EA5"/>
    <w:rsid w:val="0CA57903"/>
    <w:rsid w:val="0CF60431"/>
    <w:rsid w:val="0D116F06"/>
    <w:rsid w:val="0D241F06"/>
    <w:rsid w:val="0D2571FE"/>
    <w:rsid w:val="0D6C1917"/>
    <w:rsid w:val="0DB330AC"/>
    <w:rsid w:val="0DBD148E"/>
    <w:rsid w:val="0DEF34A4"/>
    <w:rsid w:val="0EA96766"/>
    <w:rsid w:val="0F36187A"/>
    <w:rsid w:val="0F5601F3"/>
    <w:rsid w:val="0F676F3A"/>
    <w:rsid w:val="0F907DC4"/>
    <w:rsid w:val="0FBB11BA"/>
    <w:rsid w:val="0FE31D4E"/>
    <w:rsid w:val="0FE84E8B"/>
    <w:rsid w:val="0FF63603"/>
    <w:rsid w:val="0FF9357C"/>
    <w:rsid w:val="0FFC4912"/>
    <w:rsid w:val="106D0E60"/>
    <w:rsid w:val="10BE27A7"/>
    <w:rsid w:val="10CA290E"/>
    <w:rsid w:val="11401D7F"/>
    <w:rsid w:val="117553DE"/>
    <w:rsid w:val="117B4D5F"/>
    <w:rsid w:val="11882869"/>
    <w:rsid w:val="11DA7505"/>
    <w:rsid w:val="1242519D"/>
    <w:rsid w:val="125E30E3"/>
    <w:rsid w:val="12B66E7F"/>
    <w:rsid w:val="12D745AB"/>
    <w:rsid w:val="12F45A3E"/>
    <w:rsid w:val="138E100A"/>
    <w:rsid w:val="139A183A"/>
    <w:rsid w:val="13B72EDE"/>
    <w:rsid w:val="13DD0C0C"/>
    <w:rsid w:val="144B73B8"/>
    <w:rsid w:val="14547AC0"/>
    <w:rsid w:val="14672BCF"/>
    <w:rsid w:val="14A039C2"/>
    <w:rsid w:val="14C243B6"/>
    <w:rsid w:val="14F519A5"/>
    <w:rsid w:val="15366C1E"/>
    <w:rsid w:val="15386DE3"/>
    <w:rsid w:val="15F45F2A"/>
    <w:rsid w:val="160A1770"/>
    <w:rsid w:val="1657762E"/>
    <w:rsid w:val="169C362D"/>
    <w:rsid w:val="16EA6B65"/>
    <w:rsid w:val="17062E11"/>
    <w:rsid w:val="171F4719"/>
    <w:rsid w:val="176F7298"/>
    <w:rsid w:val="178F6FFD"/>
    <w:rsid w:val="17AB08D1"/>
    <w:rsid w:val="17B14599"/>
    <w:rsid w:val="17B774EC"/>
    <w:rsid w:val="17C72DB2"/>
    <w:rsid w:val="180B2E8E"/>
    <w:rsid w:val="1859110E"/>
    <w:rsid w:val="18741C71"/>
    <w:rsid w:val="18AE6B83"/>
    <w:rsid w:val="191747F4"/>
    <w:rsid w:val="19272AD4"/>
    <w:rsid w:val="19545973"/>
    <w:rsid w:val="19C03980"/>
    <w:rsid w:val="19F63AC5"/>
    <w:rsid w:val="1A2F6E66"/>
    <w:rsid w:val="1A3D6FDC"/>
    <w:rsid w:val="1A4E4FD4"/>
    <w:rsid w:val="1A5E129C"/>
    <w:rsid w:val="1B5F41DC"/>
    <w:rsid w:val="1BCA209F"/>
    <w:rsid w:val="1BDD531A"/>
    <w:rsid w:val="1BEC1E23"/>
    <w:rsid w:val="1C52129E"/>
    <w:rsid w:val="1C5F6D59"/>
    <w:rsid w:val="1CB32FD1"/>
    <w:rsid w:val="1CB7543A"/>
    <w:rsid w:val="1E247E83"/>
    <w:rsid w:val="1E3A4F0E"/>
    <w:rsid w:val="1EB028CE"/>
    <w:rsid w:val="1EBA1E85"/>
    <w:rsid w:val="1EFA62EE"/>
    <w:rsid w:val="1F352299"/>
    <w:rsid w:val="1F3C3C9F"/>
    <w:rsid w:val="1F4F1A7D"/>
    <w:rsid w:val="1F8F1EB3"/>
    <w:rsid w:val="1FA627F7"/>
    <w:rsid w:val="1FD0484A"/>
    <w:rsid w:val="2015759F"/>
    <w:rsid w:val="20280B19"/>
    <w:rsid w:val="20396A62"/>
    <w:rsid w:val="20650D18"/>
    <w:rsid w:val="20916C76"/>
    <w:rsid w:val="20AF386A"/>
    <w:rsid w:val="20E23D76"/>
    <w:rsid w:val="20E666DB"/>
    <w:rsid w:val="20EE55D8"/>
    <w:rsid w:val="21002FC6"/>
    <w:rsid w:val="211A7EF0"/>
    <w:rsid w:val="212870CF"/>
    <w:rsid w:val="22045D99"/>
    <w:rsid w:val="221B6334"/>
    <w:rsid w:val="225139BB"/>
    <w:rsid w:val="227C57F1"/>
    <w:rsid w:val="22982B69"/>
    <w:rsid w:val="229C6D3A"/>
    <w:rsid w:val="22A155AF"/>
    <w:rsid w:val="22B46CC3"/>
    <w:rsid w:val="231F1AC0"/>
    <w:rsid w:val="233C4B83"/>
    <w:rsid w:val="234F0E18"/>
    <w:rsid w:val="239D7879"/>
    <w:rsid w:val="23A56135"/>
    <w:rsid w:val="23BD0E9C"/>
    <w:rsid w:val="23E3328D"/>
    <w:rsid w:val="240D1901"/>
    <w:rsid w:val="24507711"/>
    <w:rsid w:val="24560EFC"/>
    <w:rsid w:val="246A743D"/>
    <w:rsid w:val="24865E6D"/>
    <w:rsid w:val="24C33720"/>
    <w:rsid w:val="24ED3881"/>
    <w:rsid w:val="253C0C58"/>
    <w:rsid w:val="25451DF0"/>
    <w:rsid w:val="25ED1DC6"/>
    <w:rsid w:val="25EE0C47"/>
    <w:rsid w:val="261F2075"/>
    <w:rsid w:val="26205700"/>
    <w:rsid w:val="263C310B"/>
    <w:rsid w:val="2683375C"/>
    <w:rsid w:val="26C313DF"/>
    <w:rsid w:val="26DD145D"/>
    <w:rsid w:val="26F504C4"/>
    <w:rsid w:val="272850F6"/>
    <w:rsid w:val="27515126"/>
    <w:rsid w:val="277C7EBE"/>
    <w:rsid w:val="27A21AE7"/>
    <w:rsid w:val="27C6272A"/>
    <w:rsid w:val="27C92E35"/>
    <w:rsid w:val="28880EE8"/>
    <w:rsid w:val="28F00706"/>
    <w:rsid w:val="29156567"/>
    <w:rsid w:val="291D0A99"/>
    <w:rsid w:val="292070DB"/>
    <w:rsid w:val="29253E09"/>
    <w:rsid w:val="292C3D90"/>
    <w:rsid w:val="294657E0"/>
    <w:rsid w:val="295D4B86"/>
    <w:rsid w:val="29692CB4"/>
    <w:rsid w:val="298530FD"/>
    <w:rsid w:val="29DC7140"/>
    <w:rsid w:val="2A484BBB"/>
    <w:rsid w:val="2AD5241E"/>
    <w:rsid w:val="2B187AED"/>
    <w:rsid w:val="2B400BB1"/>
    <w:rsid w:val="2B462854"/>
    <w:rsid w:val="2B754880"/>
    <w:rsid w:val="2B9879DF"/>
    <w:rsid w:val="2BA542CA"/>
    <w:rsid w:val="2BBB35E0"/>
    <w:rsid w:val="2BDA74FD"/>
    <w:rsid w:val="2BE84E85"/>
    <w:rsid w:val="2C1E7FBF"/>
    <w:rsid w:val="2C786E8B"/>
    <w:rsid w:val="2C7C2732"/>
    <w:rsid w:val="2CC12ED6"/>
    <w:rsid w:val="2CD414E3"/>
    <w:rsid w:val="2CE67ED5"/>
    <w:rsid w:val="2CF245DD"/>
    <w:rsid w:val="2CFB356C"/>
    <w:rsid w:val="2D7609A3"/>
    <w:rsid w:val="2DCA63BB"/>
    <w:rsid w:val="2DD20FA0"/>
    <w:rsid w:val="2DE80631"/>
    <w:rsid w:val="2DE8593C"/>
    <w:rsid w:val="2E100B4C"/>
    <w:rsid w:val="2E1F0147"/>
    <w:rsid w:val="2EA664D1"/>
    <w:rsid w:val="2EAC3D10"/>
    <w:rsid w:val="2ED34C7A"/>
    <w:rsid w:val="2EE13770"/>
    <w:rsid w:val="2EF57C32"/>
    <w:rsid w:val="2F867195"/>
    <w:rsid w:val="2F8F20DA"/>
    <w:rsid w:val="2FC42F38"/>
    <w:rsid w:val="2FC47E19"/>
    <w:rsid w:val="2FDE4897"/>
    <w:rsid w:val="2FE51E77"/>
    <w:rsid w:val="30585D21"/>
    <w:rsid w:val="307C50A6"/>
    <w:rsid w:val="30A15721"/>
    <w:rsid w:val="30C972C9"/>
    <w:rsid w:val="30F31CC6"/>
    <w:rsid w:val="30FF6981"/>
    <w:rsid w:val="3103590F"/>
    <w:rsid w:val="31964E0D"/>
    <w:rsid w:val="31B36DA7"/>
    <w:rsid w:val="322D26E7"/>
    <w:rsid w:val="32806219"/>
    <w:rsid w:val="32896214"/>
    <w:rsid w:val="330433C8"/>
    <w:rsid w:val="333B7525"/>
    <w:rsid w:val="33515F64"/>
    <w:rsid w:val="335827CD"/>
    <w:rsid w:val="33B3199A"/>
    <w:rsid w:val="33E36D03"/>
    <w:rsid w:val="340B2531"/>
    <w:rsid w:val="34273B74"/>
    <w:rsid w:val="345A672A"/>
    <w:rsid w:val="346F3480"/>
    <w:rsid w:val="34755472"/>
    <w:rsid w:val="34A30E86"/>
    <w:rsid w:val="34EE1673"/>
    <w:rsid w:val="3514215F"/>
    <w:rsid w:val="35211858"/>
    <w:rsid w:val="354E45C7"/>
    <w:rsid w:val="358476C9"/>
    <w:rsid w:val="365B4058"/>
    <w:rsid w:val="36880F74"/>
    <w:rsid w:val="36CA2261"/>
    <w:rsid w:val="37053B3C"/>
    <w:rsid w:val="373832A9"/>
    <w:rsid w:val="375449B4"/>
    <w:rsid w:val="37845730"/>
    <w:rsid w:val="378B36E6"/>
    <w:rsid w:val="379B33FC"/>
    <w:rsid w:val="37C84F68"/>
    <w:rsid w:val="37CF4DE7"/>
    <w:rsid w:val="3819262B"/>
    <w:rsid w:val="387277C4"/>
    <w:rsid w:val="38930521"/>
    <w:rsid w:val="389A2AFE"/>
    <w:rsid w:val="38CA59A2"/>
    <w:rsid w:val="38D73675"/>
    <w:rsid w:val="393C7305"/>
    <w:rsid w:val="395E30D7"/>
    <w:rsid w:val="39A5357F"/>
    <w:rsid w:val="39A82249"/>
    <w:rsid w:val="39BF5864"/>
    <w:rsid w:val="39E062D9"/>
    <w:rsid w:val="39E124E1"/>
    <w:rsid w:val="3A350058"/>
    <w:rsid w:val="3A3F5855"/>
    <w:rsid w:val="3A5009D7"/>
    <w:rsid w:val="3A8B5314"/>
    <w:rsid w:val="3A9F0F27"/>
    <w:rsid w:val="3ACA2618"/>
    <w:rsid w:val="3AE62AD0"/>
    <w:rsid w:val="3AF81412"/>
    <w:rsid w:val="3B265FBB"/>
    <w:rsid w:val="3B532943"/>
    <w:rsid w:val="3B6A0F20"/>
    <w:rsid w:val="3B74233E"/>
    <w:rsid w:val="3BBA3894"/>
    <w:rsid w:val="3BFE29FA"/>
    <w:rsid w:val="3C8F0672"/>
    <w:rsid w:val="3CB31DE2"/>
    <w:rsid w:val="3CC97CB3"/>
    <w:rsid w:val="3D0C2C73"/>
    <w:rsid w:val="3D1512D9"/>
    <w:rsid w:val="3D3A50BE"/>
    <w:rsid w:val="3D5E4B3E"/>
    <w:rsid w:val="3D9169C5"/>
    <w:rsid w:val="3DB15675"/>
    <w:rsid w:val="3DB161BE"/>
    <w:rsid w:val="3E4D215D"/>
    <w:rsid w:val="3ED0263E"/>
    <w:rsid w:val="3F31632A"/>
    <w:rsid w:val="3F3237E6"/>
    <w:rsid w:val="3F750024"/>
    <w:rsid w:val="3FE221B1"/>
    <w:rsid w:val="401C0CBD"/>
    <w:rsid w:val="40376795"/>
    <w:rsid w:val="403868D6"/>
    <w:rsid w:val="405C08DA"/>
    <w:rsid w:val="40617509"/>
    <w:rsid w:val="40640E47"/>
    <w:rsid w:val="41034A9D"/>
    <w:rsid w:val="410D2FF3"/>
    <w:rsid w:val="417036E9"/>
    <w:rsid w:val="41721CAC"/>
    <w:rsid w:val="417A0105"/>
    <w:rsid w:val="41882DB8"/>
    <w:rsid w:val="41B5017B"/>
    <w:rsid w:val="421B11B9"/>
    <w:rsid w:val="424D62F1"/>
    <w:rsid w:val="42E67640"/>
    <w:rsid w:val="435C3CCA"/>
    <w:rsid w:val="43795ADD"/>
    <w:rsid w:val="43980DC0"/>
    <w:rsid w:val="43F55791"/>
    <w:rsid w:val="44CD2FD0"/>
    <w:rsid w:val="44D244B1"/>
    <w:rsid w:val="45125BB9"/>
    <w:rsid w:val="451C61B3"/>
    <w:rsid w:val="45473CE6"/>
    <w:rsid w:val="45652409"/>
    <w:rsid w:val="45C02CCB"/>
    <w:rsid w:val="45F3473D"/>
    <w:rsid w:val="461A4762"/>
    <w:rsid w:val="4674415F"/>
    <w:rsid w:val="467B3345"/>
    <w:rsid w:val="469059F6"/>
    <w:rsid w:val="46A73FAC"/>
    <w:rsid w:val="46A97433"/>
    <w:rsid w:val="46EF3B13"/>
    <w:rsid w:val="472C206B"/>
    <w:rsid w:val="47F534F4"/>
    <w:rsid w:val="48552326"/>
    <w:rsid w:val="48570B8A"/>
    <w:rsid w:val="485D25C6"/>
    <w:rsid w:val="4866709A"/>
    <w:rsid w:val="48835D05"/>
    <w:rsid w:val="48880302"/>
    <w:rsid w:val="489D46A1"/>
    <w:rsid w:val="48AF1769"/>
    <w:rsid w:val="48BB352C"/>
    <w:rsid w:val="48F729AE"/>
    <w:rsid w:val="49106CED"/>
    <w:rsid w:val="49E00B04"/>
    <w:rsid w:val="4A131B56"/>
    <w:rsid w:val="4A577676"/>
    <w:rsid w:val="4A595556"/>
    <w:rsid w:val="4A8C11E1"/>
    <w:rsid w:val="4A8D35B9"/>
    <w:rsid w:val="4A9A49AD"/>
    <w:rsid w:val="4AA479B1"/>
    <w:rsid w:val="4AB86F48"/>
    <w:rsid w:val="4AD132C2"/>
    <w:rsid w:val="4AD72184"/>
    <w:rsid w:val="4AE555F7"/>
    <w:rsid w:val="4AF41366"/>
    <w:rsid w:val="4B1F192E"/>
    <w:rsid w:val="4B3B4737"/>
    <w:rsid w:val="4B7A0334"/>
    <w:rsid w:val="4B9444A0"/>
    <w:rsid w:val="4BA66847"/>
    <w:rsid w:val="4BBC031E"/>
    <w:rsid w:val="4BBD44EB"/>
    <w:rsid w:val="4C1248AE"/>
    <w:rsid w:val="4C1F6763"/>
    <w:rsid w:val="4C3A556C"/>
    <w:rsid w:val="4C581AF7"/>
    <w:rsid w:val="4CC557CD"/>
    <w:rsid w:val="4CD62E65"/>
    <w:rsid w:val="4CDF3843"/>
    <w:rsid w:val="4D27295A"/>
    <w:rsid w:val="4D4E66FA"/>
    <w:rsid w:val="4D52093F"/>
    <w:rsid w:val="4D747710"/>
    <w:rsid w:val="4D8A69C1"/>
    <w:rsid w:val="4DF0433B"/>
    <w:rsid w:val="4E3A3D9E"/>
    <w:rsid w:val="4E3E1AA1"/>
    <w:rsid w:val="4E785EBA"/>
    <w:rsid w:val="4E8274B9"/>
    <w:rsid w:val="4E834CCE"/>
    <w:rsid w:val="4E9004BE"/>
    <w:rsid w:val="4EAA7078"/>
    <w:rsid w:val="4ED421E2"/>
    <w:rsid w:val="4F1A55B3"/>
    <w:rsid w:val="4F256843"/>
    <w:rsid w:val="4F483130"/>
    <w:rsid w:val="4F76022F"/>
    <w:rsid w:val="4FBD23F1"/>
    <w:rsid w:val="500C46A0"/>
    <w:rsid w:val="5084722D"/>
    <w:rsid w:val="50BA2FC5"/>
    <w:rsid w:val="5121022A"/>
    <w:rsid w:val="5133362B"/>
    <w:rsid w:val="513D5284"/>
    <w:rsid w:val="51436BDD"/>
    <w:rsid w:val="516477DE"/>
    <w:rsid w:val="519142D9"/>
    <w:rsid w:val="51B51E4D"/>
    <w:rsid w:val="52134E06"/>
    <w:rsid w:val="52560EF1"/>
    <w:rsid w:val="52B92E40"/>
    <w:rsid w:val="52C74244"/>
    <w:rsid w:val="52FC3B32"/>
    <w:rsid w:val="53047C38"/>
    <w:rsid w:val="53CF14FC"/>
    <w:rsid w:val="54567FAB"/>
    <w:rsid w:val="54647BDF"/>
    <w:rsid w:val="54A54024"/>
    <w:rsid w:val="551D0E95"/>
    <w:rsid w:val="55401E3A"/>
    <w:rsid w:val="55441DC6"/>
    <w:rsid w:val="558121BD"/>
    <w:rsid w:val="55E671ED"/>
    <w:rsid w:val="564A1C2F"/>
    <w:rsid w:val="56765B90"/>
    <w:rsid w:val="568B0FCC"/>
    <w:rsid w:val="5720631F"/>
    <w:rsid w:val="57237F82"/>
    <w:rsid w:val="57362C16"/>
    <w:rsid w:val="5773219C"/>
    <w:rsid w:val="57A51FB9"/>
    <w:rsid w:val="57E672AE"/>
    <w:rsid w:val="581C7077"/>
    <w:rsid w:val="584F3B39"/>
    <w:rsid w:val="585E1D27"/>
    <w:rsid w:val="58892418"/>
    <w:rsid w:val="590F78E5"/>
    <w:rsid w:val="5942288B"/>
    <w:rsid w:val="596A6557"/>
    <w:rsid w:val="5990788B"/>
    <w:rsid w:val="59B328E1"/>
    <w:rsid w:val="59C17E95"/>
    <w:rsid w:val="5A37743A"/>
    <w:rsid w:val="5A55553C"/>
    <w:rsid w:val="5A5A5EF5"/>
    <w:rsid w:val="5A6208C0"/>
    <w:rsid w:val="5A6309CF"/>
    <w:rsid w:val="5AA95CC6"/>
    <w:rsid w:val="5B35776E"/>
    <w:rsid w:val="5B48584A"/>
    <w:rsid w:val="5B974C64"/>
    <w:rsid w:val="5BA840E4"/>
    <w:rsid w:val="5BC970C9"/>
    <w:rsid w:val="5BCE0F2B"/>
    <w:rsid w:val="5BD40697"/>
    <w:rsid w:val="5C003712"/>
    <w:rsid w:val="5C3C4550"/>
    <w:rsid w:val="5C75343D"/>
    <w:rsid w:val="5C9A6A40"/>
    <w:rsid w:val="5CB9343D"/>
    <w:rsid w:val="5CDD206B"/>
    <w:rsid w:val="5D1727A4"/>
    <w:rsid w:val="5D42108A"/>
    <w:rsid w:val="5D7A082B"/>
    <w:rsid w:val="5E17285C"/>
    <w:rsid w:val="5E3020CB"/>
    <w:rsid w:val="5E3B3E1F"/>
    <w:rsid w:val="5E403743"/>
    <w:rsid w:val="5E5A7500"/>
    <w:rsid w:val="5EC37FF5"/>
    <w:rsid w:val="5EF021B7"/>
    <w:rsid w:val="5F286A37"/>
    <w:rsid w:val="5F6E00A2"/>
    <w:rsid w:val="5F9B178C"/>
    <w:rsid w:val="5FF7109A"/>
    <w:rsid w:val="601E19DE"/>
    <w:rsid w:val="60201186"/>
    <w:rsid w:val="60FA480B"/>
    <w:rsid w:val="610315AB"/>
    <w:rsid w:val="61123635"/>
    <w:rsid w:val="61185EB7"/>
    <w:rsid w:val="6125103A"/>
    <w:rsid w:val="614C08C4"/>
    <w:rsid w:val="615D1478"/>
    <w:rsid w:val="61936D7E"/>
    <w:rsid w:val="61CA680A"/>
    <w:rsid w:val="620D2F46"/>
    <w:rsid w:val="620D333B"/>
    <w:rsid w:val="622F530A"/>
    <w:rsid w:val="63761A68"/>
    <w:rsid w:val="6377583C"/>
    <w:rsid w:val="63A14864"/>
    <w:rsid w:val="64404E21"/>
    <w:rsid w:val="64732D66"/>
    <w:rsid w:val="64AA2D2E"/>
    <w:rsid w:val="64CE0EAB"/>
    <w:rsid w:val="64D54E94"/>
    <w:rsid w:val="6597036E"/>
    <w:rsid w:val="65A5570C"/>
    <w:rsid w:val="65AA0973"/>
    <w:rsid w:val="65C31D25"/>
    <w:rsid w:val="65DF55C9"/>
    <w:rsid w:val="6629742D"/>
    <w:rsid w:val="66397DEB"/>
    <w:rsid w:val="6641446E"/>
    <w:rsid w:val="665433BF"/>
    <w:rsid w:val="66581FC0"/>
    <w:rsid w:val="665D6A27"/>
    <w:rsid w:val="66B87D01"/>
    <w:rsid w:val="67197A58"/>
    <w:rsid w:val="67AA4028"/>
    <w:rsid w:val="67AF2694"/>
    <w:rsid w:val="67EE2570"/>
    <w:rsid w:val="67F212EF"/>
    <w:rsid w:val="68001C4F"/>
    <w:rsid w:val="68292412"/>
    <w:rsid w:val="686C2568"/>
    <w:rsid w:val="687C01A1"/>
    <w:rsid w:val="688A2424"/>
    <w:rsid w:val="691D1E38"/>
    <w:rsid w:val="69561747"/>
    <w:rsid w:val="695D4F8E"/>
    <w:rsid w:val="696E0024"/>
    <w:rsid w:val="699E555B"/>
    <w:rsid w:val="69F60272"/>
    <w:rsid w:val="69F80398"/>
    <w:rsid w:val="6A3A5330"/>
    <w:rsid w:val="6A673BE4"/>
    <w:rsid w:val="6A762611"/>
    <w:rsid w:val="6A7D1FCD"/>
    <w:rsid w:val="6A9F7A30"/>
    <w:rsid w:val="6ACD007F"/>
    <w:rsid w:val="6B1B0E5C"/>
    <w:rsid w:val="6B7E6469"/>
    <w:rsid w:val="6BE45E40"/>
    <w:rsid w:val="6C1E45FB"/>
    <w:rsid w:val="6C4966A1"/>
    <w:rsid w:val="6C4C36D3"/>
    <w:rsid w:val="6C7B7E2D"/>
    <w:rsid w:val="6CB83C1B"/>
    <w:rsid w:val="6CE53D05"/>
    <w:rsid w:val="6D385E60"/>
    <w:rsid w:val="6DAF4619"/>
    <w:rsid w:val="6E0C036E"/>
    <w:rsid w:val="6E1346FE"/>
    <w:rsid w:val="6E1C475D"/>
    <w:rsid w:val="6E2B75C8"/>
    <w:rsid w:val="6E6B0CB0"/>
    <w:rsid w:val="6E724960"/>
    <w:rsid w:val="6E8F088A"/>
    <w:rsid w:val="6E9B47BD"/>
    <w:rsid w:val="6EA47844"/>
    <w:rsid w:val="6EC86A31"/>
    <w:rsid w:val="6F20108A"/>
    <w:rsid w:val="6F3D688E"/>
    <w:rsid w:val="6F41422E"/>
    <w:rsid w:val="6F4845DF"/>
    <w:rsid w:val="6FFB099B"/>
    <w:rsid w:val="704A49F1"/>
    <w:rsid w:val="70A15587"/>
    <w:rsid w:val="70BD751C"/>
    <w:rsid w:val="70F17275"/>
    <w:rsid w:val="70F94508"/>
    <w:rsid w:val="71007E53"/>
    <w:rsid w:val="71342C65"/>
    <w:rsid w:val="713E7F5C"/>
    <w:rsid w:val="714C79D9"/>
    <w:rsid w:val="716A2CB4"/>
    <w:rsid w:val="71DE680C"/>
    <w:rsid w:val="72116E2C"/>
    <w:rsid w:val="721E342D"/>
    <w:rsid w:val="725A0122"/>
    <w:rsid w:val="725E61DC"/>
    <w:rsid w:val="725F35C3"/>
    <w:rsid w:val="72754011"/>
    <w:rsid w:val="72844AE1"/>
    <w:rsid w:val="728D3B33"/>
    <w:rsid w:val="7299106C"/>
    <w:rsid w:val="72CD7419"/>
    <w:rsid w:val="72D3201F"/>
    <w:rsid w:val="73600626"/>
    <w:rsid w:val="73B776DA"/>
    <w:rsid w:val="73E6498B"/>
    <w:rsid w:val="7403796D"/>
    <w:rsid w:val="74306508"/>
    <w:rsid w:val="74AE06FF"/>
    <w:rsid w:val="74FC1004"/>
    <w:rsid w:val="75092CA4"/>
    <w:rsid w:val="752E352F"/>
    <w:rsid w:val="7530708C"/>
    <w:rsid w:val="754A64E7"/>
    <w:rsid w:val="754F5F6D"/>
    <w:rsid w:val="757C4CAB"/>
    <w:rsid w:val="75A52E49"/>
    <w:rsid w:val="75BB6C00"/>
    <w:rsid w:val="76616D7B"/>
    <w:rsid w:val="77286493"/>
    <w:rsid w:val="77311999"/>
    <w:rsid w:val="77400E13"/>
    <w:rsid w:val="779E4F60"/>
    <w:rsid w:val="77A0525A"/>
    <w:rsid w:val="77B61BB8"/>
    <w:rsid w:val="77CA4ACF"/>
    <w:rsid w:val="77CD21BF"/>
    <w:rsid w:val="77DF2AB3"/>
    <w:rsid w:val="781C5A8C"/>
    <w:rsid w:val="78461D0E"/>
    <w:rsid w:val="78B035ED"/>
    <w:rsid w:val="78C1165F"/>
    <w:rsid w:val="78C93E31"/>
    <w:rsid w:val="78D3347B"/>
    <w:rsid w:val="79065F44"/>
    <w:rsid w:val="791A6EF5"/>
    <w:rsid w:val="792153D6"/>
    <w:rsid w:val="794801F2"/>
    <w:rsid w:val="79BA0D11"/>
    <w:rsid w:val="79FC375A"/>
    <w:rsid w:val="7A0259A7"/>
    <w:rsid w:val="7A295764"/>
    <w:rsid w:val="7A492D78"/>
    <w:rsid w:val="7A506799"/>
    <w:rsid w:val="7A78054B"/>
    <w:rsid w:val="7A794EF5"/>
    <w:rsid w:val="7A8F3DB9"/>
    <w:rsid w:val="7AFF6E0B"/>
    <w:rsid w:val="7B2C2C80"/>
    <w:rsid w:val="7B5268D0"/>
    <w:rsid w:val="7B77093C"/>
    <w:rsid w:val="7BB62D52"/>
    <w:rsid w:val="7BF26556"/>
    <w:rsid w:val="7C3E1600"/>
    <w:rsid w:val="7C4F4540"/>
    <w:rsid w:val="7C7C4582"/>
    <w:rsid w:val="7CF92EAF"/>
    <w:rsid w:val="7D0B482C"/>
    <w:rsid w:val="7D247693"/>
    <w:rsid w:val="7D2D1603"/>
    <w:rsid w:val="7D3549AB"/>
    <w:rsid w:val="7D4B5261"/>
    <w:rsid w:val="7D4D599D"/>
    <w:rsid w:val="7D6E2FAD"/>
    <w:rsid w:val="7DC42FC4"/>
    <w:rsid w:val="7E017C88"/>
    <w:rsid w:val="7E397EE8"/>
    <w:rsid w:val="7E671B41"/>
    <w:rsid w:val="7E764A94"/>
    <w:rsid w:val="7EAD6E7B"/>
    <w:rsid w:val="7EF3070F"/>
    <w:rsid w:val="7F085AB2"/>
    <w:rsid w:val="7F1E2C30"/>
    <w:rsid w:val="7F225F1B"/>
    <w:rsid w:val="7F711E06"/>
    <w:rsid w:val="7FAB1A27"/>
    <w:rsid w:val="7FFD43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0" w:name="table of authorities"/>
    <w:lsdException w:uiPriority="0" w:name="macro"/>
    <w:lsdException w:uiPriority="0" w:name="toa heading"/>
    <w:lsdException w:qFormat="1" w:unhideWhenUsed="0" w:uiPriority="0" w:semiHidden="0" w:name="List"/>
    <w:lsdException w:qFormat="1" w:unhideWhenUsed="0" w:uiPriority="0" w:semiHidden="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4">
    <w:name w:val="heading 2"/>
    <w:basedOn w:val="1"/>
    <w:next w:val="5"/>
    <w:link w:val="80"/>
    <w:qFormat/>
    <w:uiPriority w:val="0"/>
    <w:pPr>
      <w:keepNext/>
      <w:keepLines/>
      <w:spacing w:before="260" w:after="260" w:line="480" w:lineRule="exact"/>
      <w:jc w:val="center"/>
      <w:outlineLvl w:val="1"/>
    </w:pPr>
    <w:rPr>
      <w:rFonts w:ascii="宋体" w:hAnsi="宋体" w:eastAsia="黑体"/>
      <w:bCs/>
      <w:i/>
      <w:iCs/>
      <w:sz w:val="24"/>
      <w:szCs w:val="20"/>
    </w:rPr>
  </w:style>
  <w:style w:type="paragraph" w:styleId="6">
    <w:name w:val="heading 3"/>
    <w:basedOn w:val="1"/>
    <w:next w:val="1"/>
    <w:link w:val="87"/>
    <w:qFormat/>
    <w:uiPriority w:val="0"/>
    <w:pPr>
      <w:keepNext/>
      <w:keepLines/>
      <w:widowControl/>
      <w:numPr>
        <w:ilvl w:val="2"/>
        <w:numId w:val="1"/>
      </w:numPr>
      <w:spacing w:before="120" w:after="120" w:line="360" w:lineRule="auto"/>
      <w:jc w:val="center"/>
      <w:outlineLvl w:val="2"/>
    </w:pPr>
    <w:rPr>
      <w:b/>
      <w:kern w:val="0"/>
      <w:sz w:val="32"/>
      <w:szCs w:val="20"/>
    </w:rPr>
  </w:style>
  <w:style w:type="paragraph" w:styleId="7">
    <w:name w:val="heading 4"/>
    <w:basedOn w:val="1"/>
    <w:next w:val="5"/>
    <w:qFormat/>
    <w:uiPriority w:val="0"/>
    <w:pPr>
      <w:keepNext/>
      <w:adjustRightInd w:val="0"/>
      <w:spacing w:line="420" w:lineRule="atLeast"/>
      <w:ind w:firstLine="454"/>
      <w:jc w:val="center"/>
      <w:textAlignment w:val="baseline"/>
      <w:outlineLvl w:val="3"/>
    </w:pPr>
    <w:rPr>
      <w:i/>
      <w:kern w:val="0"/>
      <w:szCs w:val="20"/>
    </w:rPr>
  </w:style>
  <w:style w:type="paragraph" w:styleId="8">
    <w:name w:val="heading 5"/>
    <w:basedOn w:val="1"/>
    <w:next w:val="1"/>
    <w:qFormat/>
    <w:uiPriority w:val="0"/>
    <w:pPr>
      <w:keepNext/>
      <w:jc w:val="center"/>
      <w:outlineLvl w:val="4"/>
    </w:pPr>
    <w:rPr>
      <w:rFonts w:eastAsia="楷体_GB2312"/>
      <w:sz w:val="28"/>
    </w:rPr>
  </w:style>
  <w:style w:type="paragraph" w:styleId="9">
    <w:name w:val="heading 6"/>
    <w:basedOn w:val="1"/>
    <w:next w:val="1"/>
    <w:qFormat/>
    <w:uiPriority w:val="0"/>
    <w:pPr>
      <w:keepNext/>
      <w:keepLines/>
      <w:widowControl/>
      <w:tabs>
        <w:tab w:val="left" w:pos="1440"/>
      </w:tabs>
      <w:spacing w:before="240" w:after="64" w:line="317" w:lineRule="auto"/>
      <w:ind w:left="1152" w:hanging="1152"/>
      <w:jc w:val="left"/>
      <w:outlineLvl w:val="5"/>
    </w:pPr>
    <w:rPr>
      <w:rFonts w:ascii="Arial" w:hAnsi="Arial" w:eastAsia="黑体"/>
      <w:b/>
      <w:bCs/>
      <w:kern w:val="0"/>
      <w:sz w:val="24"/>
    </w:rPr>
  </w:style>
  <w:style w:type="paragraph" w:styleId="10">
    <w:name w:val="heading 7"/>
    <w:basedOn w:val="1"/>
    <w:next w:val="1"/>
    <w:qFormat/>
    <w:uiPriority w:val="0"/>
    <w:pPr>
      <w:keepNext/>
      <w:keepLines/>
      <w:widowControl/>
      <w:tabs>
        <w:tab w:val="left" w:pos="2520"/>
      </w:tabs>
      <w:spacing w:before="240" w:after="64" w:line="317" w:lineRule="auto"/>
      <w:ind w:left="1296" w:hanging="1296"/>
      <w:jc w:val="left"/>
      <w:outlineLvl w:val="6"/>
    </w:pPr>
    <w:rPr>
      <w:b/>
      <w:bCs/>
      <w:kern w:val="0"/>
      <w:sz w:val="24"/>
    </w:rPr>
  </w:style>
  <w:style w:type="paragraph" w:styleId="11">
    <w:name w:val="heading 8"/>
    <w:basedOn w:val="1"/>
    <w:next w:val="1"/>
    <w:qFormat/>
    <w:uiPriority w:val="0"/>
    <w:pPr>
      <w:keepNext/>
      <w:keepLines/>
      <w:widowControl/>
      <w:tabs>
        <w:tab w:val="left" w:pos="1440"/>
      </w:tabs>
      <w:spacing w:before="240" w:after="64" w:line="317" w:lineRule="auto"/>
      <w:ind w:left="1440" w:hanging="1440"/>
      <w:jc w:val="left"/>
      <w:outlineLvl w:val="7"/>
    </w:pPr>
    <w:rPr>
      <w:rFonts w:ascii="Arial" w:hAnsi="Arial" w:eastAsia="黑体"/>
      <w:kern w:val="0"/>
      <w:sz w:val="24"/>
    </w:rPr>
  </w:style>
  <w:style w:type="paragraph" w:styleId="12">
    <w:name w:val="heading 9"/>
    <w:basedOn w:val="1"/>
    <w:next w:val="1"/>
    <w:qFormat/>
    <w:uiPriority w:val="0"/>
    <w:pPr>
      <w:keepNext/>
      <w:keepLines/>
      <w:widowControl/>
      <w:tabs>
        <w:tab w:val="left" w:pos="1584"/>
      </w:tabs>
      <w:spacing w:before="240" w:after="64" w:line="317" w:lineRule="auto"/>
      <w:ind w:left="1584" w:hanging="1584"/>
      <w:jc w:val="left"/>
      <w:outlineLvl w:val="8"/>
    </w:pPr>
    <w:rPr>
      <w:rFonts w:ascii="Arial" w:hAnsi="Arial" w:eastAsia="黑体"/>
      <w:kern w:val="0"/>
      <w:szCs w:val="21"/>
    </w:rPr>
  </w:style>
  <w:style w:type="character" w:default="1" w:styleId="52">
    <w:name w:val="Default Paragraph Font"/>
    <w:unhideWhenUsed/>
    <w:qFormat/>
    <w:uiPriority w:val="1"/>
  </w:style>
  <w:style w:type="table" w:default="1" w:styleId="61">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link w:val="84"/>
    <w:qFormat/>
    <w:uiPriority w:val="0"/>
    <w:pPr>
      <w:spacing w:after="120"/>
    </w:pPr>
  </w:style>
  <w:style w:type="paragraph" w:styleId="5">
    <w:name w:val="Normal Indent"/>
    <w:basedOn w:val="1"/>
    <w:qFormat/>
    <w:uiPriority w:val="0"/>
    <w:pPr>
      <w:ind w:firstLine="420" w:firstLineChars="200"/>
    </w:pPr>
  </w:style>
  <w:style w:type="paragraph" w:styleId="13">
    <w:name w:val="annotation subject"/>
    <w:basedOn w:val="14"/>
    <w:next w:val="14"/>
    <w:link w:val="82"/>
    <w:qFormat/>
    <w:uiPriority w:val="0"/>
    <w:rPr>
      <w:rFonts w:ascii="宋体"/>
      <w:b/>
      <w:bCs/>
    </w:rPr>
  </w:style>
  <w:style w:type="paragraph" w:styleId="14">
    <w:name w:val="annotation text"/>
    <w:basedOn w:val="1"/>
    <w:link w:val="193"/>
    <w:qFormat/>
    <w:uiPriority w:val="0"/>
    <w:pPr>
      <w:jc w:val="left"/>
    </w:pPr>
  </w:style>
  <w:style w:type="paragraph" w:styleId="15">
    <w:name w:val="toc 7"/>
    <w:basedOn w:val="1"/>
    <w:next w:val="1"/>
    <w:qFormat/>
    <w:uiPriority w:val="0"/>
    <w:pPr>
      <w:ind w:left="1260"/>
      <w:jc w:val="left"/>
    </w:pPr>
    <w:rPr>
      <w:sz w:val="18"/>
      <w:szCs w:val="18"/>
    </w:rPr>
  </w:style>
  <w:style w:type="paragraph" w:styleId="16">
    <w:name w:val="Body Text First Indent"/>
    <w:basedOn w:val="2"/>
    <w:qFormat/>
    <w:uiPriority w:val="0"/>
    <w:pPr>
      <w:ind w:firstLine="420" w:firstLineChars="100"/>
    </w:pPr>
  </w:style>
  <w:style w:type="paragraph" w:styleId="17">
    <w:name w:val="List Bullet 4"/>
    <w:basedOn w:val="1"/>
    <w:qFormat/>
    <w:uiPriority w:val="0"/>
    <w:pPr>
      <w:tabs>
        <w:tab w:val="left" w:pos="1140"/>
      </w:tabs>
      <w:spacing w:line="360" w:lineRule="auto"/>
      <w:ind w:left="-137" w:leftChars="-137" w:hanging="288" w:hangingChars="137"/>
    </w:pPr>
  </w:style>
  <w:style w:type="paragraph" w:styleId="18">
    <w:name w:val="caption"/>
    <w:basedOn w:val="1"/>
    <w:next w:val="1"/>
    <w:qFormat/>
    <w:uiPriority w:val="0"/>
    <w:rPr>
      <w:rFonts w:ascii="Arial" w:hAnsi="Arial" w:eastAsia="黑体" w:cs="Arial"/>
      <w:sz w:val="20"/>
      <w:szCs w:val="20"/>
    </w:rPr>
  </w:style>
  <w:style w:type="paragraph" w:styleId="19">
    <w:name w:val="List Bullet"/>
    <w:basedOn w:val="1"/>
    <w:qFormat/>
    <w:uiPriority w:val="0"/>
    <w:pPr>
      <w:tabs>
        <w:tab w:val="left" w:pos="360"/>
      </w:tabs>
      <w:ind w:left="360" w:hanging="360"/>
    </w:pPr>
  </w:style>
  <w:style w:type="paragraph" w:styleId="20">
    <w:name w:val="Document Map"/>
    <w:basedOn w:val="1"/>
    <w:link w:val="83"/>
    <w:qFormat/>
    <w:uiPriority w:val="0"/>
    <w:rPr>
      <w:rFonts w:ascii="宋体"/>
      <w:sz w:val="18"/>
      <w:szCs w:val="18"/>
    </w:rPr>
  </w:style>
  <w:style w:type="paragraph" w:styleId="21">
    <w:name w:val="Salutation"/>
    <w:basedOn w:val="1"/>
    <w:next w:val="1"/>
    <w:link w:val="78"/>
    <w:qFormat/>
    <w:uiPriority w:val="0"/>
    <w:pPr>
      <w:spacing w:line="400" w:lineRule="atLeast"/>
    </w:pPr>
    <w:rPr>
      <w:b/>
      <w:sz w:val="24"/>
      <w:szCs w:val="20"/>
    </w:rPr>
  </w:style>
  <w:style w:type="paragraph" w:styleId="22">
    <w:name w:val="Body Text 3"/>
    <w:basedOn w:val="1"/>
    <w:qFormat/>
    <w:uiPriority w:val="0"/>
    <w:rPr>
      <w:rFonts w:ascii="宋体"/>
      <w:sz w:val="24"/>
      <w:szCs w:val="20"/>
    </w:rPr>
  </w:style>
  <w:style w:type="paragraph" w:styleId="23">
    <w:name w:val="List Bullet 3"/>
    <w:basedOn w:val="1"/>
    <w:qFormat/>
    <w:uiPriority w:val="0"/>
    <w:pPr>
      <w:tabs>
        <w:tab w:val="left" w:pos="1140"/>
        <w:tab w:val="left" w:pos="1200"/>
      </w:tabs>
      <w:ind w:left="1200" w:leftChars="400" w:hanging="720"/>
    </w:pPr>
  </w:style>
  <w:style w:type="paragraph" w:styleId="24">
    <w:name w:val="Body Text Indent"/>
    <w:basedOn w:val="1"/>
    <w:qFormat/>
    <w:uiPriority w:val="0"/>
    <w:pPr>
      <w:spacing w:after="120"/>
      <w:ind w:left="420" w:leftChars="200"/>
    </w:pPr>
  </w:style>
  <w:style w:type="paragraph" w:styleId="25">
    <w:name w:val="Block Text"/>
    <w:basedOn w:val="1"/>
    <w:qFormat/>
    <w:uiPriority w:val="0"/>
    <w:pPr>
      <w:spacing w:line="360" w:lineRule="auto"/>
      <w:ind w:left="1" w:right="-13" w:rightChars="-6" w:firstLine="480" w:firstLineChars="200"/>
    </w:pPr>
    <w:rPr>
      <w:rFonts w:ascii="Arial" w:hAnsi="Arial" w:cs="Arial"/>
      <w:sz w:val="24"/>
    </w:rPr>
  </w:style>
  <w:style w:type="paragraph" w:styleId="26">
    <w:name w:val="List Bullet 2"/>
    <w:basedOn w:val="1"/>
    <w:qFormat/>
    <w:uiPriority w:val="0"/>
    <w:pPr>
      <w:tabs>
        <w:tab w:val="left" w:pos="780"/>
        <w:tab w:val="left" w:pos="1460"/>
      </w:tabs>
      <w:ind w:left="780" w:leftChars="200" w:hanging="900"/>
    </w:pPr>
  </w:style>
  <w:style w:type="paragraph" w:styleId="27">
    <w:name w:val="toc 5"/>
    <w:basedOn w:val="1"/>
    <w:next w:val="1"/>
    <w:qFormat/>
    <w:uiPriority w:val="0"/>
    <w:pPr>
      <w:ind w:left="840"/>
      <w:jc w:val="left"/>
    </w:pPr>
    <w:rPr>
      <w:sz w:val="18"/>
      <w:szCs w:val="18"/>
    </w:rPr>
  </w:style>
  <w:style w:type="paragraph" w:styleId="28">
    <w:name w:val="toc 3"/>
    <w:basedOn w:val="1"/>
    <w:next w:val="1"/>
    <w:qFormat/>
    <w:uiPriority w:val="0"/>
    <w:pPr>
      <w:ind w:left="420"/>
      <w:jc w:val="left"/>
    </w:pPr>
    <w:rPr>
      <w:i/>
      <w:iCs/>
      <w:sz w:val="20"/>
      <w:szCs w:val="20"/>
    </w:rPr>
  </w:style>
  <w:style w:type="paragraph" w:styleId="29">
    <w:name w:val="Plain Text"/>
    <w:basedOn w:val="1"/>
    <w:link w:val="65"/>
    <w:qFormat/>
    <w:uiPriority w:val="0"/>
    <w:rPr>
      <w:rFonts w:ascii="宋体" w:hAnsi="Courier New"/>
      <w:szCs w:val="20"/>
    </w:rPr>
  </w:style>
  <w:style w:type="paragraph" w:styleId="30">
    <w:name w:val="List Bullet 5"/>
    <w:basedOn w:val="1"/>
    <w:qFormat/>
    <w:uiPriority w:val="0"/>
    <w:pPr>
      <w:tabs>
        <w:tab w:val="left" w:pos="425"/>
      </w:tabs>
      <w:ind w:left="425" w:hanging="425"/>
    </w:pPr>
  </w:style>
  <w:style w:type="paragraph" w:styleId="31">
    <w:name w:val="toc 8"/>
    <w:basedOn w:val="1"/>
    <w:next w:val="1"/>
    <w:qFormat/>
    <w:uiPriority w:val="0"/>
    <w:pPr>
      <w:ind w:left="1470"/>
      <w:jc w:val="left"/>
    </w:pPr>
    <w:rPr>
      <w:sz w:val="18"/>
      <w:szCs w:val="18"/>
    </w:rPr>
  </w:style>
  <w:style w:type="paragraph" w:styleId="32">
    <w:name w:val="Date"/>
    <w:basedOn w:val="1"/>
    <w:next w:val="1"/>
    <w:qFormat/>
    <w:uiPriority w:val="0"/>
    <w:rPr>
      <w:sz w:val="24"/>
      <w:szCs w:val="20"/>
    </w:rPr>
  </w:style>
  <w:style w:type="paragraph" w:styleId="33">
    <w:name w:val="Body Text Indent 2"/>
    <w:basedOn w:val="1"/>
    <w:qFormat/>
    <w:uiPriority w:val="0"/>
    <w:pPr>
      <w:spacing w:line="500" w:lineRule="exact"/>
      <w:ind w:firstLine="540" w:firstLineChars="200"/>
    </w:pPr>
    <w:rPr>
      <w:rFonts w:ascii="宋体" w:hAnsi="宋体"/>
      <w:sz w:val="27"/>
      <w:szCs w:val="27"/>
    </w:rPr>
  </w:style>
  <w:style w:type="paragraph" w:styleId="34">
    <w:name w:val="endnote text"/>
    <w:basedOn w:val="1"/>
    <w:qFormat/>
    <w:uiPriority w:val="0"/>
    <w:pPr>
      <w:snapToGrid w:val="0"/>
      <w:jc w:val="left"/>
    </w:pPr>
  </w:style>
  <w:style w:type="paragraph" w:styleId="35">
    <w:name w:val="Balloon Text"/>
    <w:basedOn w:val="1"/>
    <w:qFormat/>
    <w:uiPriority w:val="0"/>
    <w:rPr>
      <w:sz w:val="18"/>
      <w:szCs w:val="18"/>
    </w:rPr>
  </w:style>
  <w:style w:type="paragraph" w:styleId="36">
    <w:name w:val="footer"/>
    <w:basedOn w:val="1"/>
    <w:link w:val="76"/>
    <w:qFormat/>
    <w:uiPriority w:val="0"/>
    <w:pPr>
      <w:tabs>
        <w:tab w:val="center" w:pos="4153"/>
        <w:tab w:val="right" w:pos="8306"/>
      </w:tabs>
      <w:snapToGrid w:val="0"/>
      <w:jc w:val="left"/>
    </w:pPr>
    <w:rPr>
      <w:sz w:val="18"/>
      <w:szCs w:val="18"/>
    </w:rPr>
  </w:style>
  <w:style w:type="paragraph" w:styleId="37">
    <w:name w:val="Body Text First Indent 2"/>
    <w:basedOn w:val="24"/>
    <w:qFormat/>
    <w:uiPriority w:val="0"/>
    <w:pPr>
      <w:ind w:firstLine="420" w:firstLineChars="200"/>
    </w:pPr>
  </w:style>
  <w:style w:type="paragraph" w:styleId="38">
    <w:name w:val="header"/>
    <w:basedOn w:val="1"/>
    <w:link w:val="90"/>
    <w:qFormat/>
    <w:uiPriority w:val="0"/>
    <w:pPr>
      <w:tabs>
        <w:tab w:val="center" w:pos="4153"/>
        <w:tab w:val="right" w:pos="8306"/>
      </w:tabs>
      <w:snapToGrid w:val="0"/>
      <w:jc w:val="center"/>
    </w:pPr>
    <w:rPr>
      <w:sz w:val="18"/>
      <w:szCs w:val="18"/>
    </w:rPr>
  </w:style>
  <w:style w:type="paragraph" w:styleId="39">
    <w:name w:val="toc 1"/>
    <w:basedOn w:val="1"/>
    <w:next w:val="1"/>
    <w:qFormat/>
    <w:uiPriority w:val="39"/>
    <w:pPr>
      <w:tabs>
        <w:tab w:val="right" w:leader="dot" w:pos="9004"/>
      </w:tabs>
      <w:spacing w:before="120" w:after="120" w:line="360" w:lineRule="auto"/>
      <w:jc w:val="center"/>
    </w:pPr>
    <w:rPr>
      <w:b/>
      <w:bCs/>
      <w:caps/>
      <w:sz w:val="20"/>
      <w:szCs w:val="20"/>
    </w:rPr>
  </w:style>
  <w:style w:type="paragraph" w:styleId="40">
    <w:name w:val="toc 4"/>
    <w:basedOn w:val="1"/>
    <w:next w:val="1"/>
    <w:qFormat/>
    <w:uiPriority w:val="0"/>
    <w:pPr>
      <w:ind w:left="630"/>
      <w:jc w:val="left"/>
    </w:pPr>
    <w:rPr>
      <w:sz w:val="18"/>
      <w:szCs w:val="18"/>
    </w:rPr>
  </w:style>
  <w:style w:type="paragraph" w:styleId="41">
    <w:name w:val="List"/>
    <w:basedOn w:val="1"/>
    <w:qFormat/>
    <w:uiPriority w:val="0"/>
    <w:pPr>
      <w:ind w:left="420" w:hanging="420"/>
    </w:pPr>
    <w:rPr>
      <w:szCs w:val="20"/>
    </w:rPr>
  </w:style>
  <w:style w:type="paragraph" w:styleId="42">
    <w:name w:val="footnote text"/>
    <w:basedOn w:val="1"/>
    <w:link w:val="69"/>
    <w:qFormat/>
    <w:uiPriority w:val="0"/>
    <w:pPr>
      <w:snapToGrid w:val="0"/>
      <w:jc w:val="left"/>
    </w:pPr>
    <w:rPr>
      <w:sz w:val="18"/>
      <w:szCs w:val="18"/>
    </w:rPr>
  </w:style>
  <w:style w:type="paragraph" w:styleId="43">
    <w:name w:val="toc 6"/>
    <w:basedOn w:val="1"/>
    <w:next w:val="1"/>
    <w:qFormat/>
    <w:uiPriority w:val="0"/>
    <w:pPr>
      <w:ind w:left="1050"/>
      <w:jc w:val="left"/>
    </w:pPr>
    <w:rPr>
      <w:sz w:val="18"/>
      <w:szCs w:val="18"/>
    </w:rPr>
  </w:style>
  <w:style w:type="paragraph" w:styleId="44">
    <w:name w:val="Body Text Indent 3"/>
    <w:basedOn w:val="1"/>
    <w:qFormat/>
    <w:uiPriority w:val="0"/>
    <w:pPr>
      <w:spacing w:after="120"/>
      <w:ind w:left="420" w:leftChars="200"/>
    </w:pPr>
    <w:rPr>
      <w:sz w:val="16"/>
      <w:szCs w:val="16"/>
    </w:rPr>
  </w:style>
  <w:style w:type="paragraph" w:styleId="45">
    <w:name w:val="toc 2"/>
    <w:basedOn w:val="1"/>
    <w:next w:val="1"/>
    <w:qFormat/>
    <w:uiPriority w:val="39"/>
    <w:pPr>
      <w:ind w:left="210"/>
      <w:jc w:val="left"/>
    </w:pPr>
    <w:rPr>
      <w:smallCaps/>
      <w:sz w:val="20"/>
      <w:szCs w:val="20"/>
    </w:rPr>
  </w:style>
  <w:style w:type="paragraph" w:styleId="46">
    <w:name w:val="toc 9"/>
    <w:basedOn w:val="1"/>
    <w:next w:val="1"/>
    <w:qFormat/>
    <w:uiPriority w:val="0"/>
    <w:pPr>
      <w:ind w:left="1680"/>
      <w:jc w:val="left"/>
    </w:pPr>
    <w:rPr>
      <w:sz w:val="18"/>
      <w:szCs w:val="18"/>
    </w:rPr>
  </w:style>
  <w:style w:type="paragraph" w:styleId="47">
    <w:name w:val="Body Text 2"/>
    <w:basedOn w:val="1"/>
    <w:qFormat/>
    <w:uiPriority w:val="0"/>
    <w:pPr>
      <w:spacing w:after="120" w:line="480" w:lineRule="auto"/>
    </w:pPr>
  </w:style>
  <w:style w:type="paragraph" w:styleId="4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49">
    <w:name w:val="Normal (Web)"/>
    <w:basedOn w:val="1"/>
    <w:qFormat/>
    <w:uiPriority w:val="99"/>
    <w:rPr>
      <w:sz w:val="24"/>
    </w:rPr>
  </w:style>
  <w:style w:type="paragraph" w:styleId="50">
    <w:name w:val="index 1"/>
    <w:basedOn w:val="1"/>
    <w:next w:val="1"/>
    <w:qFormat/>
    <w:uiPriority w:val="0"/>
    <w:pPr>
      <w:spacing w:line="220" w:lineRule="exact"/>
      <w:jc w:val="center"/>
    </w:pPr>
    <w:rPr>
      <w:rFonts w:ascii="仿宋_GB2312" w:eastAsia="仿宋_GB2312"/>
      <w:szCs w:val="21"/>
    </w:rPr>
  </w:style>
  <w:style w:type="paragraph" w:styleId="51">
    <w:name w:val="Title"/>
    <w:basedOn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character" w:styleId="53">
    <w:name w:val="Strong"/>
    <w:qFormat/>
    <w:uiPriority w:val="0"/>
    <w:rPr>
      <w:b/>
      <w:bCs/>
    </w:rPr>
  </w:style>
  <w:style w:type="character" w:styleId="54">
    <w:name w:val="endnote reference"/>
    <w:qFormat/>
    <w:uiPriority w:val="0"/>
    <w:rPr>
      <w:vertAlign w:val="superscript"/>
    </w:rPr>
  </w:style>
  <w:style w:type="character" w:styleId="55">
    <w:name w:val="page number"/>
    <w:basedOn w:val="52"/>
    <w:qFormat/>
    <w:uiPriority w:val="0"/>
  </w:style>
  <w:style w:type="character" w:styleId="56">
    <w:name w:val="FollowedHyperlink"/>
    <w:qFormat/>
    <w:uiPriority w:val="0"/>
    <w:rPr>
      <w:color w:val="800080"/>
      <w:u w:val="single"/>
    </w:rPr>
  </w:style>
  <w:style w:type="character" w:styleId="57">
    <w:name w:val="Emphasis"/>
    <w:qFormat/>
    <w:uiPriority w:val="0"/>
    <w:rPr>
      <w:color w:val="CC0033"/>
    </w:rPr>
  </w:style>
  <w:style w:type="character" w:styleId="58">
    <w:name w:val="Hyperlink"/>
    <w:qFormat/>
    <w:uiPriority w:val="99"/>
    <w:rPr>
      <w:color w:val="0000FF"/>
      <w:u w:val="single"/>
    </w:rPr>
  </w:style>
  <w:style w:type="character" w:styleId="59">
    <w:name w:val="annotation reference"/>
    <w:qFormat/>
    <w:uiPriority w:val="0"/>
    <w:rPr>
      <w:sz w:val="21"/>
      <w:szCs w:val="21"/>
    </w:rPr>
  </w:style>
  <w:style w:type="character" w:styleId="60">
    <w:name w:val="footnote reference"/>
    <w:qFormat/>
    <w:uiPriority w:val="0"/>
    <w:rPr>
      <w:vertAlign w:val="superscript"/>
    </w:rPr>
  </w:style>
  <w:style w:type="table" w:styleId="62">
    <w:name w:val="Table Grid"/>
    <w:basedOn w:val="61"/>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63">
    <w:name w:val="font01"/>
    <w:qFormat/>
    <w:uiPriority w:val="0"/>
    <w:rPr>
      <w:rFonts w:hint="eastAsia" w:ascii="宋体" w:hAnsi="宋体" w:eastAsia="宋体"/>
      <w:color w:val="000000"/>
      <w:sz w:val="24"/>
      <w:szCs w:val="24"/>
      <w:u w:val="none"/>
    </w:rPr>
  </w:style>
  <w:style w:type="character" w:customStyle="1" w:styleId="64">
    <w:name w:val="msoins"/>
    <w:basedOn w:val="52"/>
    <w:qFormat/>
    <w:uiPriority w:val="0"/>
  </w:style>
  <w:style w:type="character" w:customStyle="1" w:styleId="65">
    <w:name w:val="纯文本 Char"/>
    <w:link w:val="29"/>
    <w:qFormat/>
    <w:uiPriority w:val="0"/>
    <w:rPr>
      <w:rFonts w:ascii="宋体" w:hAnsi="Courier New" w:eastAsia="宋体"/>
      <w:kern w:val="2"/>
      <w:sz w:val="21"/>
      <w:lang w:val="en-US" w:eastAsia="zh-CN" w:bidi="ar-SA"/>
    </w:rPr>
  </w:style>
  <w:style w:type="character" w:customStyle="1" w:styleId="66">
    <w:name w:val="font11"/>
    <w:qFormat/>
    <w:uiPriority w:val="0"/>
    <w:rPr>
      <w:rFonts w:hint="default" w:ascii="Times New Roman" w:hAnsi="Times New Roman" w:cs="Times New Roman"/>
      <w:color w:val="000000"/>
      <w:sz w:val="24"/>
      <w:szCs w:val="24"/>
      <w:u w:val="none"/>
    </w:rPr>
  </w:style>
  <w:style w:type="character" w:customStyle="1" w:styleId="67">
    <w:name w:val="tpc_content1"/>
    <w:qFormat/>
    <w:uiPriority w:val="0"/>
    <w:rPr>
      <w:sz w:val="20"/>
      <w:szCs w:val="20"/>
    </w:rPr>
  </w:style>
  <w:style w:type="character" w:customStyle="1" w:styleId="68">
    <w:name w:val="数字"/>
    <w:qFormat/>
    <w:uiPriority w:val="0"/>
    <w:rPr>
      <w:rFonts w:eastAsia="黑体"/>
      <w:b/>
      <w:sz w:val="21"/>
    </w:rPr>
  </w:style>
  <w:style w:type="character" w:customStyle="1" w:styleId="69">
    <w:name w:val="脚注文本 Char"/>
    <w:link w:val="42"/>
    <w:qFormat/>
    <w:uiPriority w:val="0"/>
    <w:rPr>
      <w:rFonts w:eastAsia="宋体"/>
      <w:kern w:val="2"/>
      <w:sz w:val="18"/>
      <w:szCs w:val="18"/>
      <w:lang w:val="en-US" w:eastAsia="zh-CN" w:bidi="ar-SA"/>
    </w:rPr>
  </w:style>
  <w:style w:type="character" w:customStyle="1" w:styleId="70">
    <w:name w:val="font161"/>
    <w:qFormat/>
    <w:uiPriority w:val="0"/>
    <w:rPr>
      <w:b/>
      <w:bCs/>
      <w:sz w:val="32"/>
      <w:szCs w:val="32"/>
    </w:rPr>
  </w:style>
  <w:style w:type="character" w:customStyle="1" w:styleId="71">
    <w:name w:val="Char Char5"/>
    <w:link w:val="72"/>
    <w:qFormat/>
    <w:uiPriority w:val="0"/>
    <w:rPr>
      <w:rFonts w:eastAsia="宋体"/>
      <w:kern w:val="2"/>
      <w:sz w:val="21"/>
      <w:szCs w:val="24"/>
      <w:lang w:val="en-US" w:eastAsia="zh-CN" w:bidi="ar-SA"/>
    </w:rPr>
  </w:style>
  <w:style w:type="paragraph" w:customStyle="1" w:styleId="72">
    <w:name w:val="Char2"/>
    <w:basedOn w:val="1"/>
    <w:link w:val="71"/>
    <w:qFormat/>
    <w:uiPriority w:val="0"/>
  </w:style>
  <w:style w:type="character" w:customStyle="1" w:styleId="73">
    <w:name w:val="Char Char6"/>
    <w:qFormat/>
    <w:uiPriority w:val="0"/>
    <w:rPr>
      <w:rFonts w:eastAsia="宋体"/>
      <w:b/>
      <w:kern w:val="2"/>
      <w:sz w:val="24"/>
      <w:lang w:val="en-US" w:eastAsia="zh-CN" w:bidi="ar-SA"/>
    </w:rPr>
  </w:style>
  <w:style w:type="character" w:customStyle="1" w:styleId="74">
    <w:name w:val="s1"/>
    <w:qFormat/>
    <w:uiPriority w:val="0"/>
    <w:rPr>
      <w:sz w:val="18"/>
      <w:szCs w:val="18"/>
    </w:rPr>
  </w:style>
  <w:style w:type="character" w:customStyle="1" w:styleId="75">
    <w:name w:val="Char Char9"/>
    <w:qFormat/>
    <w:uiPriority w:val="0"/>
    <w:rPr>
      <w:rFonts w:eastAsia="宋体"/>
      <w:b/>
      <w:kern w:val="2"/>
      <w:sz w:val="32"/>
      <w:szCs w:val="24"/>
      <w:lang w:val="en-US" w:eastAsia="zh-CN" w:bidi="ar-SA"/>
    </w:rPr>
  </w:style>
  <w:style w:type="character" w:customStyle="1" w:styleId="76">
    <w:name w:val="页脚 Char"/>
    <w:link w:val="36"/>
    <w:qFormat/>
    <w:uiPriority w:val="0"/>
    <w:rPr>
      <w:rFonts w:eastAsia="宋体"/>
      <w:kern w:val="2"/>
      <w:sz w:val="18"/>
      <w:szCs w:val="18"/>
      <w:lang w:val="en-US" w:eastAsia="zh-CN" w:bidi="ar-SA"/>
    </w:rPr>
  </w:style>
  <w:style w:type="character" w:customStyle="1" w:styleId="77">
    <w:name w:val="123YJ Char Char"/>
    <w:qFormat/>
    <w:uiPriority w:val="0"/>
    <w:rPr>
      <w:rFonts w:eastAsia="宋体"/>
      <w:kern w:val="2"/>
      <w:sz w:val="18"/>
      <w:szCs w:val="18"/>
      <w:lang w:val="en-US" w:eastAsia="zh-CN" w:bidi="ar-SA"/>
    </w:rPr>
  </w:style>
  <w:style w:type="character" w:customStyle="1" w:styleId="78">
    <w:name w:val="称呼 Char"/>
    <w:link w:val="21"/>
    <w:qFormat/>
    <w:uiPriority w:val="0"/>
    <w:rPr>
      <w:rFonts w:eastAsia="宋体"/>
      <w:b/>
      <w:kern w:val="2"/>
      <w:sz w:val="24"/>
      <w:lang w:val="en-US" w:eastAsia="zh-CN" w:bidi="ar-SA"/>
    </w:rPr>
  </w:style>
  <w:style w:type="character" w:customStyle="1" w:styleId="79">
    <w:name w:val="font21"/>
    <w:qFormat/>
    <w:uiPriority w:val="0"/>
    <w:rPr>
      <w:rFonts w:hint="eastAsia" w:ascii="宋体" w:hAnsi="宋体" w:eastAsia="宋体"/>
      <w:color w:val="000000"/>
      <w:sz w:val="24"/>
      <w:szCs w:val="24"/>
      <w:u w:val="none"/>
    </w:rPr>
  </w:style>
  <w:style w:type="character" w:customStyle="1" w:styleId="80">
    <w:name w:val="标题 2 Char"/>
    <w:link w:val="4"/>
    <w:qFormat/>
    <w:uiPriority w:val="0"/>
    <w:rPr>
      <w:rFonts w:ascii="宋体" w:hAnsi="宋体" w:eastAsia="黑体"/>
      <w:bCs/>
      <w:i/>
      <w:iCs/>
      <w:kern w:val="2"/>
      <w:sz w:val="24"/>
      <w:lang w:bidi="ar-SA"/>
    </w:rPr>
  </w:style>
  <w:style w:type="character" w:customStyle="1" w:styleId="81">
    <w:name w:val="Para head"/>
    <w:qFormat/>
    <w:uiPriority w:val="0"/>
    <w:rPr>
      <w:sz w:val="20"/>
    </w:rPr>
  </w:style>
  <w:style w:type="character" w:customStyle="1" w:styleId="82">
    <w:name w:val="批注主题 Char"/>
    <w:link w:val="13"/>
    <w:qFormat/>
    <w:uiPriority w:val="0"/>
    <w:rPr>
      <w:rFonts w:ascii="宋体" w:eastAsia="宋体"/>
      <w:b/>
      <w:bCs/>
      <w:kern w:val="2"/>
      <w:sz w:val="21"/>
      <w:szCs w:val="24"/>
      <w:lang w:val="en-US" w:eastAsia="zh-CN" w:bidi="ar-SA"/>
    </w:rPr>
  </w:style>
  <w:style w:type="character" w:customStyle="1" w:styleId="83">
    <w:name w:val="文档结构图 Char"/>
    <w:link w:val="20"/>
    <w:qFormat/>
    <w:uiPriority w:val="0"/>
    <w:rPr>
      <w:rFonts w:ascii="宋体"/>
      <w:kern w:val="2"/>
      <w:sz w:val="18"/>
      <w:szCs w:val="18"/>
    </w:rPr>
  </w:style>
  <w:style w:type="character" w:customStyle="1" w:styleId="84">
    <w:name w:val="正文文本 Char"/>
    <w:link w:val="2"/>
    <w:qFormat/>
    <w:uiPriority w:val="0"/>
    <w:rPr>
      <w:rFonts w:eastAsia="宋体"/>
      <w:kern w:val="2"/>
      <w:sz w:val="21"/>
      <w:szCs w:val="24"/>
      <w:lang w:val="en-US" w:eastAsia="zh-CN" w:bidi="ar-SA"/>
    </w:rPr>
  </w:style>
  <w:style w:type="character" w:customStyle="1" w:styleId="85">
    <w:name w:val="style11"/>
    <w:qFormat/>
    <w:uiPriority w:val="0"/>
    <w:rPr>
      <w:b/>
      <w:bCs/>
      <w:color w:val="000000"/>
      <w:sz w:val="24"/>
      <w:szCs w:val="24"/>
    </w:rPr>
  </w:style>
  <w:style w:type="character" w:customStyle="1" w:styleId="86">
    <w:name w:val="123YJ Char2"/>
    <w:qFormat/>
    <w:uiPriority w:val="0"/>
    <w:rPr>
      <w:kern w:val="2"/>
      <w:sz w:val="18"/>
      <w:szCs w:val="18"/>
    </w:rPr>
  </w:style>
  <w:style w:type="character" w:customStyle="1" w:styleId="87">
    <w:name w:val="标题 3 Char"/>
    <w:link w:val="6"/>
    <w:qFormat/>
    <w:uiPriority w:val="0"/>
    <w:rPr>
      <w:b/>
      <w:sz w:val="32"/>
    </w:rPr>
  </w:style>
  <w:style w:type="character" w:customStyle="1" w:styleId="88">
    <w:name w:val="Char Char7"/>
    <w:qFormat/>
    <w:uiPriority w:val="0"/>
    <w:rPr>
      <w:rFonts w:ascii="宋体"/>
      <w:kern w:val="2"/>
      <w:sz w:val="18"/>
      <w:szCs w:val="18"/>
      <w:lang w:bidi="ar-SA"/>
    </w:rPr>
  </w:style>
  <w:style w:type="character" w:customStyle="1" w:styleId="89">
    <w:name w:val="unnamed11"/>
    <w:qFormat/>
    <w:uiPriority w:val="0"/>
    <w:rPr>
      <w:sz w:val="18"/>
      <w:szCs w:val="18"/>
      <w:u w:val="none"/>
    </w:rPr>
  </w:style>
  <w:style w:type="character" w:customStyle="1" w:styleId="90">
    <w:name w:val="页眉 Char"/>
    <w:link w:val="38"/>
    <w:qFormat/>
    <w:uiPriority w:val="0"/>
    <w:rPr>
      <w:rFonts w:eastAsia="宋体"/>
      <w:kern w:val="2"/>
      <w:sz w:val="18"/>
      <w:szCs w:val="18"/>
      <w:lang w:val="en-US" w:eastAsia="zh-CN" w:bidi="ar-SA"/>
    </w:rPr>
  </w:style>
  <w:style w:type="paragraph" w:customStyle="1" w:styleId="91">
    <w:name w:val="Char Char Char Char"/>
    <w:basedOn w:val="1"/>
    <w:qFormat/>
    <w:uiPriority w:val="0"/>
    <w:pPr>
      <w:widowControl/>
      <w:spacing w:after="160" w:line="240" w:lineRule="exact"/>
      <w:jc w:val="left"/>
    </w:pPr>
    <w:rPr>
      <w:szCs w:val="20"/>
    </w:rPr>
  </w:style>
  <w:style w:type="paragraph" w:customStyle="1" w:styleId="92">
    <w:name w:val="格式３"/>
    <w:basedOn w:val="1"/>
    <w:qFormat/>
    <w:uiPriority w:val="0"/>
    <w:pPr>
      <w:spacing w:line="420" w:lineRule="exact"/>
      <w:ind w:left="600" w:hanging="600" w:hangingChars="250"/>
    </w:pPr>
    <w:rPr>
      <w:rFonts w:ascii="宋体" w:hAnsi="宋体"/>
      <w:color w:val="000000"/>
      <w:sz w:val="24"/>
      <w:szCs w:val="20"/>
    </w:rPr>
  </w:style>
  <w:style w:type="paragraph" w:customStyle="1" w:styleId="93">
    <w:name w:val="Char1"/>
    <w:basedOn w:val="1"/>
    <w:qFormat/>
    <w:uiPriority w:val="0"/>
  </w:style>
  <w:style w:type="paragraph" w:customStyle="1" w:styleId="94">
    <w:name w:val="表格文字"/>
    <w:basedOn w:val="1"/>
    <w:qFormat/>
    <w:uiPriority w:val="0"/>
    <w:pPr>
      <w:adjustRightInd w:val="0"/>
      <w:spacing w:line="420" w:lineRule="atLeast"/>
      <w:jc w:val="left"/>
      <w:textAlignment w:val="baseline"/>
    </w:pPr>
    <w:rPr>
      <w:kern w:val="0"/>
      <w:szCs w:val="20"/>
    </w:rPr>
  </w:style>
  <w:style w:type="paragraph" w:customStyle="1" w:styleId="95">
    <w:name w:val="一级条标题"/>
    <w:basedOn w:val="96"/>
    <w:next w:val="97"/>
    <w:qFormat/>
    <w:uiPriority w:val="0"/>
    <w:pPr>
      <w:tabs>
        <w:tab w:val="left" w:pos="360"/>
        <w:tab w:val="left" w:pos="570"/>
      </w:tabs>
      <w:spacing w:beforeLines="0" w:afterLines="0"/>
      <w:ind w:left="570" w:hanging="570"/>
      <w:outlineLvl w:val="2"/>
    </w:pPr>
    <w:rPr>
      <w:sz w:val="24"/>
    </w:rPr>
  </w:style>
  <w:style w:type="paragraph" w:customStyle="1" w:styleId="96">
    <w:name w:val="章标题"/>
    <w:next w:val="97"/>
    <w:qFormat/>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97">
    <w:name w:val="段"/>
    <w:qFormat/>
    <w:uiPriority w:val="0"/>
    <w:pPr>
      <w:widowControl w:val="0"/>
      <w:autoSpaceDE w:val="0"/>
      <w:autoSpaceDN w:val="0"/>
      <w:adjustRightInd w:val="0"/>
      <w:spacing w:line="360" w:lineRule="auto"/>
      <w:ind w:firstLine="200" w:firstLineChars="200"/>
      <w:jc w:val="both"/>
      <w:textAlignment w:val="baseline"/>
    </w:pPr>
    <w:rPr>
      <w:rFonts w:ascii="宋体" w:hAnsi="Times New Roman" w:eastAsia="宋体" w:cs="Times New Roman"/>
      <w:sz w:val="24"/>
      <w:lang w:val="en-US" w:eastAsia="zh-CN" w:bidi="ar-SA"/>
    </w:rPr>
  </w:style>
  <w:style w:type="paragraph" w:customStyle="1" w:styleId="98">
    <w:name w:val="xl34"/>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olor w:val="000000"/>
      <w:kern w:val="0"/>
      <w:sz w:val="18"/>
      <w:szCs w:val="18"/>
    </w:rPr>
  </w:style>
  <w:style w:type="paragraph" w:customStyle="1" w:styleId="99">
    <w:name w:val="1."/>
    <w:basedOn w:val="1"/>
    <w:qFormat/>
    <w:uiPriority w:val="0"/>
    <w:pPr>
      <w:tabs>
        <w:tab w:val="left" w:pos="360"/>
        <w:tab w:val="left" w:pos="2040"/>
      </w:tabs>
      <w:spacing w:line="360" w:lineRule="auto"/>
      <w:ind w:firstLine="482"/>
    </w:pPr>
    <w:rPr>
      <w:sz w:val="28"/>
      <w:szCs w:val="20"/>
    </w:rPr>
  </w:style>
  <w:style w:type="paragraph" w:customStyle="1" w:styleId="100">
    <w:name w:val="规范文本"/>
    <w:basedOn w:val="29"/>
    <w:qFormat/>
    <w:uiPriority w:val="0"/>
    <w:pPr>
      <w:adjustRightInd w:val="0"/>
      <w:snapToGrid w:val="0"/>
      <w:spacing w:line="360" w:lineRule="exact"/>
      <w:ind w:firstLine="420"/>
    </w:pPr>
    <w:rPr>
      <w:snapToGrid w:val="0"/>
      <w:kern w:val="0"/>
    </w:rPr>
  </w:style>
  <w:style w:type="paragraph" w:customStyle="1" w:styleId="101">
    <w:name w:val=".."/>
    <w:basedOn w:val="102"/>
    <w:next w:val="102"/>
    <w:qFormat/>
    <w:uiPriority w:val="0"/>
    <w:rPr>
      <w:rFonts w:ascii="宋体" w:eastAsia="宋体" w:cs="Times New Roman"/>
      <w:color w:val="auto"/>
    </w:rPr>
  </w:style>
  <w:style w:type="paragraph" w:customStyle="1" w:styleId="10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03">
    <w:name w:val="font7"/>
    <w:basedOn w:val="1"/>
    <w:qFormat/>
    <w:uiPriority w:val="0"/>
    <w:pPr>
      <w:widowControl/>
      <w:spacing w:before="100" w:beforeAutospacing="1" w:after="100" w:afterAutospacing="1"/>
      <w:jc w:val="left"/>
    </w:pPr>
    <w:rPr>
      <w:kern w:val="0"/>
      <w:sz w:val="24"/>
    </w:rPr>
  </w:style>
  <w:style w:type="paragraph" w:customStyle="1" w:styleId="104">
    <w:name w:val="样式 标题 1 + 首行缩进:  2 字符 段前: 1 行 段后: 1 行"/>
    <w:basedOn w:val="3"/>
    <w:qFormat/>
    <w:uiPriority w:val="0"/>
    <w:pPr>
      <w:snapToGrid w:val="0"/>
      <w:spacing w:beforeLines="100" w:afterLines="100" w:line="336" w:lineRule="auto"/>
      <w:jc w:val="center"/>
    </w:pPr>
    <w:rPr>
      <w:rFonts w:ascii="Arial" w:hAnsi="Arial" w:eastAsia="黑体" w:cs="宋体"/>
      <w:sz w:val="30"/>
      <w:szCs w:val="20"/>
    </w:rPr>
  </w:style>
  <w:style w:type="paragraph" w:customStyle="1" w:styleId="105">
    <w:name w:val="xl2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top"/>
    </w:pPr>
    <w:rPr>
      <w:rFonts w:ascii="宋体" w:hAnsi="宋体"/>
      <w:kern w:val="0"/>
      <w:szCs w:val="21"/>
    </w:rPr>
  </w:style>
  <w:style w:type="paragraph" w:customStyle="1" w:styleId="106">
    <w:name w:val="前言、引言标题"/>
    <w:next w:val="1"/>
    <w:qFormat/>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107">
    <w:name w:val="font0"/>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108">
    <w:name w:val="..."/>
    <w:basedOn w:val="102"/>
    <w:next w:val="102"/>
    <w:qFormat/>
    <w:uiPriority w:val="0"/>
    <w:rPr>
      <w:rFonts w:ascii="宋体" w:eastAsia="宋体" w:cs="Times New Roman"/>
      <w:color w:val="auto"/>
    </w:rPr>
  </w:style>
  <w:style w:type="paragraph" w:customStyle="1" w:styleId="109">
    <w:name w:val="af15hichaf0dbchf15cgrid"/>
    <w:qFormat/>
    <w:uiPriority w:val="0"/>
    <w:pPr>
      <w:widowControl w:val="0"/>
      <w:tabs>
        <w:tab w:val="center" w:pos="4320"/>
        <w:tab w:val="right" w:pos="8640"/>
      </w:tabs>
      <w:adjustRightInd w:val="0"/>
      <w:spacing w:line="315" w:lineRule="atLeast"/>
      <w:jc w:val="both"/>
      <w:textAlignment w:val="baseline"/>
    </w:pPr>
    <w:rPr>
      <w:rFonts w:ascii="宋体" w:hAnsi="Times New Roman" w:eastAsia="宋体" w:cs="Times New Roman"/>
      <w:sz w:val="21"/>
      <w:lang w:val="en-US" w:eastAsia="zh-CN" w:bidi="ar-SA"/>
    </w:rPr>
  </w:style>
  <w:style w:type="paragraph" w:customStyle="1" w:styleId="110">
    <w:name w:val="内正文"/>
    <w:basedOn w:val="1"/>
    <w:qFormat/>
    <w:uiPriority w:val="0"/>
    <w:pPr>
      <w:ind w:firstLine="420"/>
    </w:pPr>
    <w:rPr>
      <w:rFonts w:eastAsia="文鼎CS书宋二"/>
      <w:szCs w:val="20"/>
    </w:rPr>
  </w:style>
  <w:style w:type="paragraph" w:customStyle="1" w:styleId="111">
    <w:name w:val="Header1"/>
    <w:basedOn w:val="1"/>
    <w:qFormat/>
    <w:uiPriority w:val="0"/>
    <w:pPr>
      <w:jc w:val="center"/>
    </w:pPr>
    <w:rPr>
      <w:rFonts w:ascii="Times New Roman Bold" w:hAnsi="Times New Roman Bold"/>
      <w:b/>
      <w:smallCaps/>
      <w:kern w:val="0"/>
      <w:sz w:val="36"/>
      <w:szCs w:val="20"/>
    </w:rPr>
  </w:style>
  <w:style w:type="paragraph" w:customStyle="1" w:styleId="112">
    <w:name w:val="正文1"/>
    <w:basedOn w:val="1"/>
    <w:qFormat/>
    <w:uiPriority w:val="0"/>
    <w:pPr>
      <w:autoSpaceDE w:val="0"/>
      <w:autoSpaceDN w:val="0"/>
      <w:adjustRightInd w:val="0"/>
      <w:spacing w:before="120" w:line="360" w:lineRule="auto"/>
      <w:ind w:left="1366" w:hanging="686"/>
    </w:pPr>
    <w:rPr>
      <w:szCs w:val="20"/>
    </w:rPr>
  </w:style>
  <w:style w:type="paragraph" w:customStyle="1" w:styleId="113">
    <w:name w:val="Char"/>
    <w:basedOn w:val="1"/>
    <w:qFormat/>
    <w:uiPriority w:val="0"/>
  </w:style>
  <w:style w:type="paragraph" w:customStyle="1" w:styleId="114">
    <w:name w:val="样式2"/>
    <w:basedOn w:val="6"/>
    <w:qFormat/>
    <w:uiPriority w:val="0"/>
    <w:pPr>
      <w:widowControl w:val="0"/>
      <w:numPr>
        <w:ilvl w:val="0"/>
        <w:numId w:val="0"/>
      </w:numPr>
      <w:tabs>
        <w:tab w:val="left" w:pos="360"/>
      </w:tabs>
      <w:spacing w:line="240" w:lineRule="auto"/>
      <w:ind w:left="840"/>
      <w:jc w:val="left"/>
    </w:pPr>
    <w:rPr>
      <w:bCs/>
      <w:spacing w:val="8"/>
      <w:sz w:val="24"/>
    </w:rPr>
  </w:style>
  <w:style w:type="paragraph" w:customStyle="1" w:styleId="115">
    <w:name w:val="表格1"/>
    <w:basedOn w:val="1"/>
    <w:qFormat/>
    <w:uiPriority w:val="0"/>
    <w:pPr>
      <w:adjustRightInd w:val="0"/>
      <w:spacing w:line="420" w:lineRule="atLeast"/>
      <w:ind w:left="284"/>
      <w:textAlignment w:val="baseline"/>
    </w:pPr>
    <w:rPr>
      <w:kern w:val="0"/>
      <w:szCs w:val="20"/>
    </w:rPr>
  </w:style>
  <w:style w:type="paragraph" w:customStyle="1" w:styleId="116">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117">
    <w:name w:val="正文列表"/>
    <w:qFormat/>
    <w:uiPriority w:val="0"/>
    <w:pPr>
      <w:widowControl w:val="0"/>
      <w:spacing w:line="360" w:lineRule="auto"/>
      <w:ind w:firstLine="540" w:firstLineChars="225"/>
      <w:jc w:val="both"/>
    </w:pPr>
    <w:rPr>
      <w:rFonts w:ascii="宋体" w:hAnsi="宋体" w:eastAsia="宋体" w:cs="Times New Roman"/>
      <w:color w:val="000000"/>
      <w:kern w:val="2"/>
      <w:sz w:val="24"/>
      <w:szCs w:val="24"/>
      <w:lang w:val="en-US" w:eastAsia="zh-CN" w:bidi="ar-SA"/>
    </w:rPr>
  </w:style>
  <w:style w:type="paragraph" w:customStyle="1" w:styleId="118">
    <w:name w:val="..1"/>
    <w:basedOn w:val="102"/>
    <w:next w:val="102"/>
    <w:qFormat/>
    <w:uiPriority w:val="0"/>
    <w:rPr>
      <w:rFonts w:ascii="新宋体" w:eastAsia="新宋体" w:cs="Times New Roman"/>
      <w:color w:val="auto"/>
    </w:rPr>
  </w:style>
  <w:style w:type="paragraph" w:customStyle="1" w:styleId="119">
    <w:name w:val="修订1"/>
    <w:qFormat/>
    <w:uiPriority w:val="0"/>
    <w:rPr>
      <w:rFonts w:ascii="Times New Roman" w:hAnsi="Times New Roman" w:eastAsia="宋体" w:cs="Times New Roman"/>
      <w:kern w:val="2"/>
      <w:sz w:val="21"/>
      <w:szCs w:val="24"/>
      <w:lang w:val="en-US" w:eastAsia="zh-CN" w:bidi="ar-SA"/>
    </w:rPr>
  </w:style>
  <w:style w:type="paragraph" w:customStyle="1" w:styleId="120">
    <w:name w:val="样式1"/>
    <w:basedOn w:val="7"/>
    <w:qFormat/>
    <w:uiPriority w:val="0"/>
    <w:pPr>
      <w:keepLines/>
      <w:tabs>
        <w:tab w:val="left" w:pos="2356"/>
      </w:tabs>
      <w:adjustRightInd/>
      <w:spacing w:before="120" w:after="120" w:line="360" w:lineRule="auto"/>
      <w:ind w:left="1984" w:hanging="708"/>
      <w:jc w:val="both"/>
      <w:textAlignment w:val="auto"/>
    </w:pPr>
    <w:rPr>
      <w:rFonts w:hAnsi="Arial" w:eastAsia="黑体"/>
      <w:i w:val="0"/>
      <w:kern w:val="2"/>
      <w:sz w:val="30"/>
    </w:rPr>
  </w:style>
  <w:style w:type="paragraph" w:customStyle="1" w:styleId="121">
    <w:name w:val="blockquote"/>
    <w:basedOn w:val="1"/>
    <w:qFormat/>
    <w:uiPriority w:val="0"/>
    <w:pPr>
      <w:widowControl/>
      <w:spacing w:before="100" w:beforeAutospacing="1" w:after="100" w:afterAutospacing="1"/>
      <w:jc w:val="left"/>
    </w:pPr>
    <w:rPr>
      <w:rFonts w:ascii="宋体" w:hAnsi="宋体"/>
      <w:color w:val="000000"/>
      <w:kern w:val="0"/>
      <w:sz w:val="24"/>
    </w:rPr>
  </w:style>
  <w:style w:type="paragraph" w:customStyle="1" w:styleId="122">
    <w:name w:val="样式 标题 3 + 段前: 0.3 行 段后: 0.3 行"/>
    <w:basedOn w:val="6"/>
    <w:qFormat/>
    <w:uiPriority w:val="0"/>
    <w:pPr>
      <w:widowControl w:val="0"/>
      <w:numPr>
        <w:numId w:val="0"/>
      </w:numPr>
      <w:snapToGrid w:val="0"/>
      <w:spacing w:beforeLines="30" w:afterLines="50" w:line="240" w:lineRule="auto"/>
      <w:jc w:val="both"/>
    </w:pPr>
    <w:rPr>
      <w:rFonts w:ascii="Arial Narrow" w:hAnsi="Arial Narrow" w:eastAsia="华文细黑" w:cs="宋体"/>
      <w:kern w:val="2"/>
      <w:sz w:val="24"/>
      <w:szCs w:val="24"/>
    </w:rPr>
  </w:style>
  <w:style w:type="paragraph" w:customStyle="1" w:styleId="123">
    <w:name w:val="样式 宋体 小四 行距: 最小值 24 磅"/>
    <w:basedOn w:val="1"/>
    <w:qFormat/>
    <w:uiPriority w:val="0"/>
    <w:pPr>
      <w:adjustRightInd w:val="0"/>
      <w:snapToGrid w:val="0"/>
      <w:spacing w:line="480" w:lineRule="atLeast"/>
      <w:ind w:firstLine="480" w:firstLineChars="200"/>
    </w:pPr>
    <w:rPr>
      <w:rFonts w:cs="宋体"/>
      <w:sz w:val="24"/>
      <w:szCs w:val="20"/>
    </w:rPr>
  </w:style>
  <w:style w:type="paragraph" w:customStyle="1" w:styleId="124">
    <w:name w:val="表格2"/>
    <w:basedOn w:val="1"/>
    <w:qFormat/>
    <w:uiPriority w:val="0"/>
    <w:pPr>
      <w:adjustRightInd w:val="0"/>
      <w:spacing w:line="420" w:lineRule="atLeast"/>
      <w:ind w:left="284" w:firstLine="454"/>
      <w:textAlignment w:val="baseline"/>
    </w:pPr>
    <w:rPr>
      <w:kern w:val="0"/>
      <w:szCs w:val="20"/>
    </w:rPr>
  </w:style>
  <w:style w:type="paragraph" w:customStyle="1" w:styleId="125">
    <w:name w:val="正文文本 31"/>
    <w:basedOn w:val="24"/>
    <w:qFormat/>
    <w:uiPriority w:val="0"/>
    <w:pPr>
      <w:autoSpaceDE w:val="0"/>
      <w:autoSpaceDN w:val="0"/>
      <w:adjustRightInd w:val="0"/>
      <w:ind w:left="360" w:leftChars="0"/>
      <w:jc w:val="left"/>
      <w:textAlignment w:val="baseline"/>
    </w:pPr>
    <w:rPr>
      <w:kern w:val="0"/>
      <w:sz w:val="20"/>
      <w:szCs w:val="20"/>
    </w:rPr>
  </w:style>
  <w:style w:type="paragraph" w:customStyle="1" w:styleId="126">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27">
    <w:name w:val="xl33"/>
    <w:basedOn w:val="1"/>
    <w:qFormat/>
    <w:uiPriority w:val="0"/>
    <w:pPr>
      <w:widowControl/>
      <w:spacing w:before="100" w:beforeAutospacing="1" w:after="100" w:afterAutospacing="1"/>
      <w:jc w:val="center"/>
    </w:pPr>
    <w:rPr>
      <w:rFonts w:ascii="Arial Unicode MS" w:hAnsi="Arial Unicode MS" w:eastAsia="Arial Unicode MS" w:cs="Arial Unicode MS"/>
      <w:kern w:val="0"/>
      <w:sz w:val="24"/>
    </w:rPr>
  </w:style>
  <w:style w:type="paragraph" w:customStyle="1" w:styleId="128">
    <w:name w:val="一、"/>
    <w:next w:val="16"/>
    <w:qFormat/>
    <w:uiPriority w:val="0"/>
    <w:pPr>
      <w:tabs>
        <w:tab w:val="left" w:pos="360"/>
        <w:tab w:val="left" w:pos="425"/>
      </w:tabs>
      <w:spacing w:before="240" w:after="240"/>
    </w:pPr>
    <w:rPr>
      <w:rFonts w:ascii="Times New Roman" w:hAnsi="Times New Roman" w:eastAsia="黑体" w:cs="Times New Roman"/>
      <w:sz w:val="28"/>
      <w:lang w:val="en-US" w:eastAsia="zh-CN" w:bidi="ar-SA"/>
    </w:rPr>
  </w:style>
  <w:style w:type="paragraph" w:customStyle="1" w:styleId="129">
    <w:name w:val="表内文字"/>
    <w:basedOn w:val="1"/>
    <w:qFormat/>
    <w:uiPriority w:val="0"/>
    <w:pPr>
      <w:snapToGrid w:val="0"/>
    </w:pPr>
    <w:rPr>
      <w:rFonts w:ascii="Tahoma" w:hAnsi="Tahoma" w:cs="Tahoma"/>
      <w:szCs w:val="21"/>
    </w:rPr>
  </w:style>
  <w:style w:type="paragraph" w:customStyle="1" w:styleId="130">
    <w:name w:val="Char Char Char Char Char Char Char Char Char Char Char Char Char"/>
    <w:basedOn w:val="1"/>
    <w:qFormat/>
    <w:uiPriority w:val="0"/>
    <w:rPr>
      <w:rFonts w:ascii="仿宋_GB2312" w:eastAsia="仿宋_GB2312"/>
      <w:b/>
      <w:sz w:val="32"/>
      <w:szCs w:val="32"/>
    </w:rPr>
  </w:style>
  <w:style w:type="paragraph" w:customStyle="1" w:styleId="131">
    <w:name w:val="Char Char Char Char Char Char1 Char Char Char Char"/>
    <w:basedOn w:val="1"/>
    <w:qFormat/>
    <w:uiPriority w:val="0"/>
    <w:rPr>
      <w:rFonts w:ascii="仿宋_GB2312" w:eastAsia="仿宋_GB2312"/>
      <w:b/>
      <w:sz w:val="32"/>
      <w:szCs w:val="32"/>
    </w:rPr>
  </w:style>
  <w:style w:type="paragraph" w:customStyle="1" w:styleId="132">
    <w:name w:val="正文 + 小四正文 + 小四正文 + 小四 Char Char"/>
    <w:basedOn w:val="1"/>
    <w:qFormat/>
    <w:uiPriority w:val="0"/>
    <w:pPr>
      <w:ind w:firstLine="480" w:firstLineChars="200"/>
    </w:pPr>
    <w:rPr>
      <w:rFonts w:ascii="仿宋_GB2312" w:hAnsi="宋体"/>
      <w:bCs/>
      <w:sz w:val="24"/>
    </w:rPr>
  </w:style>
  <w:style w:type="paragraph" w:customStyle="1" w:styleId="133">
    <w:name w:val="正文文字 2"/>
    <w:basedOn w:val="1"/>
    <w:qFormat/>
    <w:uiPriority w:val="0"/>
    <w:pPr>
      <w:spacing w:line="300" w:lineRule="exact"/>
    </w:pPr>
    <w:rPr>
      <w:rFonts w:ascii="宋体" w:hAnsi="宋体" w:cs="宋体"/>
      <w:sz w:val="24"/>
    </w:rPr>
  </w:style>
  <w:style w:type="paragraph" w:customStyle="1" w:styleId="134">
    <w:name w:val="3"/>
    <w:basedOn w:val="1"/>
    <w:qFormat/>
    <w:uiPriority w:val="0"/>
    <w:pPr>
      <w:spacing w:before="100" w:line="360" w:lineRule="auto"/>
      <w:ind w:firstLine="454"/>
    </w:pPr>
    <w:rPr>
      <w:rFonts w:ascii="宋体"/>
      <w:b/>
      <w:szCs w:val="20"/>
    </w:rPr>
  </w:style>
  <w:style w:type="paragraph" w:customStyle="1" w:styleId="135">
    <w:name w:val="默认段落字体 Para Char Char Char Char Char Char Char Char Char Char"/>
    <w:basedOn w:val="1"/>
    <w:qFormat/>
    <w:uiPriority w:val="0"/>
  </w:style>
  <w:style w:type="paragraph" w:customStyle="1" w:styleId="136">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137">
    <w:name w:val="格式1"/>
    <w:basedOn w:val="1"/>
    <w:qFormat/>
    <w:uiPriority w:val="0"/>
    <w:pPr>
      <w:spacing w:beforeLines="50"/>
      <w:jc w:val="center"/>
    </w:pPr>
    <w:rPr>
      <w:rFonts w:ascii="黑体" w:hAnsi="宋体" w:eastAsia="黑体"/>
      <w:b/>
      <w:bCs/>
      <w:color w:val="000000"/>
      <w:sz w:val="32"/>
      <w:szCs w:val="20"/>
    </w:rPr>
  </w:style>
  <w:style w:type="paragraph" w:customStyle="1" w:styleId="138">
    <w:name w:val="...."/>
    <w:basedOn w:val="102"/>
    <w:next w:val="102"/>
    <w:qFormat/>
    <w:uiPriority w:val="0"/>
    <w:rPr>
      <w:rFonts w:ascii="宋体" w:eastAsia="宋体" w:cs="Times New Roman"/>
      <w:color w:val="auto"/>
    </w:rPr>
  </w:style>
  <w:style w:type="paragraph" w:customStyle="1" w:styleId="139">
    <w:name w:val="List Paragraph"/>
    <w:basedOn w:val="1"/>
    <w:qFormat/>
    <w:uiPriority w:val="99"/>
    <w:pPr>
      <w:ind w:firstLine="420" w:firstLineChars="200"/>
    </w:pPr>
  </w:style>
  <w:style w:type="paragraph" w:customStyle="1" w:styleId="140">
    <w:name w:val="font6"/>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41">
    <w:name w:val="三级条标题"/>
    <w:basedOn w:val="142"/>
    <w:next w:val="97"/>
    <w:qFormat/>
    <w:uiPriority w:val="0"/>
    <w:pPr>
      <w:tabs>
        <w:tab w:val="left" w:pos="360"/>
        <w:tab w:val="left" w:pos="570"/>
        <w:tab w:val="left" w:pos="840"/>
      </w:tabs>
      <w:ind w:left="840" w:hanging="420"/>
      <w:outlineLvl w:val="4"/>
    </w:pPr>
  </w:style>
  <w:style w:type="paragraph" w:customStyle="1" w:styleId="142">
    <w:name w:val="二级条标题"/>
    <w:basedOn w:val="95"/>
    <w:next w:val="97"/>
    <w:qFormat/>
    <w:uiPriority w:val="0"/>
    <w:pPr>
      <w:spacing w:beforeLines="50"/>
      <w:outlineLvl w:val="3"/>
    </w:pPr>
  </w:style>
  <w:style w:type="paragraph" w:customStyle="1" w:styleId="143">
    <w:name w:val="Char Char Char"/>
    <w:basedOn w:val="1"/>
    <w:qFormat/>
    <w:uiPriority w:val="0"/>
    <w:rPr>
      <w:rFonts w:ascii="Tahoma" w:hAnsi="Tahoma"/>
      <w:sz w:val="24"/>
      <w:szCs w:val="20"/>
    </w:rPr>
  </w:style>
  <w:style w:type="paragraph" w:customStyle="1" w:styleId="144">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145">
    <w:name w:val="font5"/>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146">
    <w:name w:val="Char Char Char Char Char Char"/>
    <w:basedOn w:val="1"/>
    <w:qFormat/>
    <w:uiPriority w:val="0"/>
  </w:style>
  <w:style w:type="paragraph" w:customStyle="1" w:styleId="147">
    <w:name w:val="2"/>
    <w:basedOn w:val="1"/>
    <w:qFormat/>
    <w:uiPriority w:val="0"/>
    <w:pPr>
      <w:adjustRightInd w:val="0"/>
      <w:spacing w:line="420" w:lineRule="atLeast"/>
      <w:ind w:left="1134" w:hanging="227"/>
      <w:textAlignment w:val="baseline"/>
    </w:pPr>
    <w:rPr>
      <w:kern w:val="0"/>
      <w:szCs w:val="20"/>
    </w:rPr>
  </w:style>
  <w:style w:type="paragraph" w:customStyle="1" w:styleId="148">
    <w:name w:val="zhw"/>
    <w:basedOn w:val="1"/>
    <w:qFormat/>
    <w:uiPriority w:val="0"/>
    <w:pPr>
      <w:adjustRightInd w:val="0"/>
      <w:jc w:val="left"/>
      <w:textAlignment w:val="baseline"/>
    </w:pPr>
    <w:rPr>
      <w:rFonts w:ascii="Arial" w:hAnsi="Arial" w:eastAsia="Times New Roman"/>
      <w:sz w:val="24"/>
      <w:szCs w:val="20"/>
    </w:rPr>
  </w:style>
  <w:style w:type="paragraph" w:customStyle="1" w:styleId="149">
    <w:name w:val="xl30"/>
    <w:basedOn w:val="1"/>
    <w:qFormat/>
    <w:uiPriority w:val="0"/>
    <w:pPr>
      <w:widowControl/>
      <w:spacing w:before="100" w:beforeAutospacing="1" w:after="100" w:afterAutospacing="1"/>
      <w:jc w:val="center"/>
    </w:pPr>
    <w:rPr>
      <w:rFonts w:ascii="宋体" w:hAnsi="宋体"/>
      <w:b/>
      <w:bCs/>
      <w:kern w:val="0"/>
      <w:sz w:val="36"/>
      <w:szCs w:val="36"/>
    </w:rPr>
  </w:style>
  <w:style w:type="paragraph" w:customStyle="1" w:styleId="150">
    <w:name w:val="表头"/>
    <w:basedOn w:val="151"/>
    <w:qFormat/>
    <w:uiPriority w:val="0"/>
    <w:rPr>
      <w:rFonts w:ascii="黑体" w:eastAsia="黑体"/>
      <w:b/>
    </w:rPr>
  </w:style>
  <w:style w:type="paragraph" w:customStyle="1" w:styleId="151">
    <w:name w:val="表格方字"/>
    <w:basedOn w:val="1"/>
    <w:qFormat/>
    <w:uiPriority w:val="0"/>
    <w:pPr>
      <w:adjustRightInd w:val="0"/>
      <w:spacing w:before="60" w:after="60" w:line="420" w:lineRule="atLeast"/>
      <w:jc w:val="left"/>
      <w:textAlignment w:val="baseline"/>
    </w:pPr>
    <w:rPr>
      <w:kern w:val="0"/>
      <w:szCs w:val="20"/>
    </w:rPr>
  </w:style>
  <w:style w:type="paragraph" w:customStyle="1" w:styleId="152">
    <w:name w:val="表格3"/>
    <w:basedOn w:val="1"/>
    <w:qFormat/>
    <w:uiPriority w:val="0"/>
    <w:pPr>
      <w:adjustRightInd w:val="0"/>
      <w:spacing w:line="420" w:lineRule="atLeast"/>
      <w:textAlignment w:val="baseline"/>
    </w:pPr>
    <w:rPr>
      <w:rFonts w:eastAsia="楷体"/>
      <w:kern w:val="0"/>
      <w:szCs w:val="20"/>
    </w:rPr>
  </w:style>
  <w:style w:type="paragraph" w:customStyle="1" w:styleId="153">
    <w:name w:val="aa"/>
    <w:basedOn w:val="1"/>
    <w:qFormat/>
    <w:uiPriority w:val="0"/>
    <w:pPr>
      <w:spacing w:line="360" w:lineRule="auto"/>
    </w:pPr>
    <w:rPr>
      <w:sz w:val="24"/>
    </w:rPr>
  </w:style>
  <w:style w:type="paragraph" w:customStyle="1" w:styleId="154">
    <w:name w:val="1"/>
    <w:basedOn w:val="1"/>
    <w:next w:val="1"/>
    <w:qFormat/>
    <w:uiPriority w:val="0"/>
  </w:style>
  <w:style w:type="paragraph" w:customStyle="1" w:styleId="155">
    <w:name w:val="四级条标题"/>
    <w:basedOn w:val="141"/>
    <w:next w:val="97"/>
    <w:qFormat/>
    <w:uiPriority w:val="0"/>
    <w:pPr>
      <w:tabs>
        <w:tab w:val="left" w:pos="1260"/>
        <w:tab w:val="clear" w:pos="840"/>
      </w:tabs>
      <w:ind w:left="1260"/>
      <w:outlineLvl w:val="5"/>
    </w:pPr>
  </w:style>
  <w:style w:type="paragraph" w:customStyle="1" w:styleId="156">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57">
    <w:name w:val="五级条标题"/>
    <w:basedOn w:val="155"/>
    <w:next w:val="97"/>
    <w:qFormat/>
    <w:uiPriority w:val="0"/>
    <w:pPr>
      <w:tabs>
        <w:tab w:val="left" w:pos="1680"/>
        <w:tab w:val="clear" w:pos="1260"/>
      </w:tabs>
      <w:ind w:left="1680"/>
      <w:outlineLvl w:val="6"/>
    </w:pPr>
  </w:style>
  <w:style w:type="paragraph" w:customStyle="1" w:styleId="158">
    <w:name w:val="xl2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159">
    <w:name w:val="表中"/>
    <w:basedOn w:val="1"/>
    <w:qFormat/>
    <w:uiPriority w:val="0"/>
    <w:pPr>
      <w:adjustRightInd w:val="0"/>
      <w:spacing w:line="360" w:lineRule="atLeast"/>
      <w:jc w:val="center"/>
      <w:textAlignment w:val="baseline"/>
    </w:pPr>
    <w:rPr>
      <w:kern w:val="0"/>
      <w:szCs w:val="20"/>
    </w:rPr>
  </w:style>
  <w:style w:type="paragraph" w:customStyle="1" w:styleId="16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161">
    <w:name w:val="样式 首行缩进:  2 字符 段前: 0.5 行 段后: 0.5 行"/>
    <w:basedOn w:val="1"/>
    <w:next w:val="1"/>
    <w:qFormat/>
    <w:uiPriority w:val="0"/>
    <w:pPr>
      <w:adjustRightInd w:val="0"/>
      <w:snapToGrid w:val="0"/>
      <w:spacing w:before="156" w:line="312" w:lineRule="auto"/>
      <w:ind w:firstLine="480" w:firstLineChars="200"/>
    </w:pPr>
    <w:rPr>
      <w:rFonts w:eastAsia="楷体_GB2312"/>
      <w:sz w:val="24"/>
      <w:szCs w:val="20"/>
    </w:rPr>
  </w:style>
  <w:style w:type="paragraph" w:customStyle="1" w:styleId="162">
    <w:name w:val="表格4"/>
    <w:basedOn w:val="1"/>
    <w:qFormat/>
    <w:uiPriority w:val="0"/>
    <w:pPr>
      <w:adjustRightInd w:val="0"/>
      <w:spacing w:line="420" w:lineRule="atLeast"/>
      <w:ind w:left="1021"/>
      <w:textAlignment w:val="baseline"/>
    </w:pPr>
    <w:rPr>
      <w:kern w:val="0"/>
      <w:szCs w:val="20"/>
    </w:rPr>
  </w:style>
  <w:style w:type="paragraph" w:customStyle="1" w:styleId="163">
    <w:name w:val="注："/>
    <w:next w:val="97"/>
    <w:qFormat/>
    <w:uiPriority w:val="0"/>
    <w:pPr>
      <w:widowControl w:val="0"/>
      <w:tabs>
        <w:tab w:val="left" w:pos="2100"/>
      </w:tabs>
      <w:autoSpaceDE w:val="0"/>
      <w:autoSpaceDN w:val="0"/>
      <w:adjustRightInd w:val="0"/>
      <w:spacing w:line="360" w:lineRule="atLeast"/>
      <w:ind w:left="840" w:hanging="420"/>
      <w:jc w:val="both"/>
      <w:textAlignment w:val="baseline"/>
    </w:pPr>
    <w:rPr>
      <w:rFonts w:ascii="宋体" w:hAnsi="Times New Roman" w:eastAsia="宋体" w:cs="Times New Roman"/>
      <w:sz w:val="21"/>
      <w:lang w:val="en-US" w:eastAsia="zh-CN" w:bidi="ar-SA"/>
    </w:rPr>
  </w:style>
  <w:style w:type="paragraph" w:customStyle="1" w:styleId="164">
    <w:name w:val="xl3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b/>
      <w:bCs/>
      <w:color w:val="000000"/>
      <w:kern w:val="0"/>
      <w:sz w:val="18"/>
      <w:szCs w:val="18"/>
    </w:rPr>
  </w:style>
  <w:style w:type="paragraph" w:customStyle="1" w:styleId="165">
    <w:name w:val="表格6"/>
    <w:basedOn w:val="166"/>
    <w:qFormat/>
    <w:uiPriority w:val="0"/>
    <w:pPr>
      <w:ind w:left="737" w:firstLine="0"/>
    </w:pPr>
  </w:style>
  <w:style w:type="paragraph" w:customStyle="1" w:styleId="166">
    <w:name w:val="表格5"/>
    <w:basedOn w:val="124"/>
    <w:qFormat/>
    <w:uiPriority w:val="0"/>
    <w:pPr>
      <w:ind w:left="1021" w:hanging="284"/>
    </w:pPr>
    <w:rPr>
      <w:rFonts w:ascii="宋体"/>
    </w:rPr>
  </w:style>
  <w:style w:type="paragraph" w:customStyle="1" w:styleId="167">
    <w:name w:val="表格"/>
    <w:basedOn w:val="1"/>
    <w:qFormat/>
    <w:uiPriority w:val="0"/>
    <w:pPr>
      <w:jc w:val="center"/>
      <w:textAlignment w:val="center"/>
    </w:pPr>
    <w:rPr>
      <w:rFonts w:ascii="华文细黑" w:hAnsi="华文细黑"/>
      <w:kern w:val="0"/>
      <w:szCs w:val="20"/>
    </w:rPr>
  </w:style>
  <w:style w:type="paragraph" w:customStyle="1" w:styleId="168">
    <w:name w:val="Char Char Char Char Char Char Char Char Char Char Char Char Char Char Char Char Char Char1 Char Char Char Char"/>
    <w:basedOn w:val="1"/>
    <w:qFormat/>
    <w:uiPriority w:val="0"/>
  </w:style>
  <w:style w:type="paragraph" w:customStyle="1" w:styleId="169">
    <w:name w:val="text"/>
    <w:basedOn w:val="1"/>
    <w:qFormat/>
    <w:uiPriority w:val="0"/>
    <w:pPr>
      <w:widowControl/>
      <w:spacing w:before="100" w:beforeAutospacing="1" w:after="100" w:afterAutospacing="1" w:line="360" w:lineRule="atLeast"/>
      <w:ind w:firstLine="400"/>
      <w:jc w:val="left"/>
    </w:pPr>
    <w:rPr>
      <w:rFonts w:ascii="宋体" w:hAnsi="宋体"/>
      <w:color w:val="000000"/>
      <w:kern w:val="0"/>
      <w:sz w:val="20"/>
      <w:szCs w:val="20"/>
    </w:rPr>
  </w:style>
  <w:style w:type="paragraph" w:customStyle="1" w:styleId="170">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71">
    <w:name w:val="样式 目录 1 + 段前: 0.4 行 段后: 0.4 行"/>
    <w:basedOn w:val="39"/>
    <w:qFormat/>
    <w:uiPriority w:val="0"/>
    <w:pPr>
      <w:tabs>
        <w:tab w:val="clear" w:pos="9004"/>
      </w:tabs>
      <w:adjustRightInd w:val="0"/>
      <w:snapToGrid w:val="0"/>
      <w:spacing w:beforeLines="100" w:afterLines="40" w:line="240" w:lineRule="auto"/>
      <w:jc w:val="both"/>
    </w:pPr>
    <w:rPr>
      <w:rFonts w:eastAsia="楷体_GB2312" w:cs="宋体"/>
      <w:caps w:val="0"/>
      <w:sz w:val="24"/>
    </w:rPr>
  </w:style>
  <w:style w:type="paragraph" w:customStyle="1" w:styleId="172">
    <w:name w:val="Char6"/>
    <w:basedOn w:val="1"/>
    <w:qFormat/>
    <w:uiPriority w:val="0"/>
    <w:pPr>
      <w:widowControl/>
      <w:spacing w:after="160" w:line="240" w:lineRule="exact"/>
      <w:jc w:val="left"/>
    </w:pPr>
    <w:rPr>
      <w:rFonts w:ascii="仿宋_GB2312" w:eastAsia="仿宋_GB2312"/>
      <w:sz w:val="32"/>
      <w:szCs w:val="20"/>
    </w:rPr>
  </w:style>
  <w:style w:type="paragraph" w:customStyle="1" w:styleId="173">
    <w:name w:val="样式4"/>
    <w:basedOn w:val="7"/>
    <w:qFormat/>
    <w:uiPriority w:val="0"/>
    <w:pPr>
      <w:tabs>
        <w:tab w:val="left" w:pos="360"/>
        <w:tab w:val="left" w:pos="8740"/>
        <w:tab w:val="left" w:pos="9412"/>
      </w:tabs>
      <w:adjustRightInd/>
      <w:spacing w:line="180" w:lineRule="auto"/>
      <w:ind w:left="840" w:firstLine="0"/>
      <w:jc w:val="left"/>
      <w:textAlignment w:val="auto"/>
    </w:pPr>
    <w:rPr>
      <w:rFonts w:ascii="Arial" w:hAnsi="Arial"/>
      <w:i w:val="0"/>
      <w:spacing w:val="8"/>
      <w:kern w:val="2"/>
      <w:sz w:val="28"/>
      <w:shd w:val="clear" w:color="auto" w:fill="FFFFFF"/>
    </w:rPr>
  </w:style>
  <w:style w:type="paragraph" w:customStyle="1" w:styleId="174">
    <w:name w:val="xl46"/>
    <w:basedOn w:val="1"/>
    <w:qFormat/>
    <w:uiPriority w:val="0"/>
    <w:pPr>
      <w:widowControl/>
      <w:spacing w:before="100" w:beforeAutospacing="1" w:after="100" w:afterAutospacing="1"/>
      <w:jc w:val="right"/>
      <w:textAlignment w:val="center"/>
    </w:pPr>
    <w:rPr>
      <w:rFonts w:ascii="Arial Unicode MS" w:hAnsi="Arial Unicode MS" w:eastAsia="Arial Unicode MS" w:cs="Arial Unicode MS"/>
      <w:kern w:val="0"/>
      <w:sz w:val="20"/>
      <w:szCs w:val="20"/>
    </w:rPr>
  </w:style>
  <w:style w:type="paragraph" w:customStyle="1" w:styleId="175">
    <w:name w:val="xl74"/>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kern w:val="0"/>
      <w:sz w:val="20"/>
      <w:szCs w:val="20"/>
    </w:rPr>
  </w:style>
  <w:style w:type="paragraph" w:customStyle="1" w:styleId="176">
    <w:name w:val="Head 1.2"/>
    <w:basedOn w:val="1"/>
    <w:qFormat/>
    <w:uiPriority w:val="0"/>
    <w:pPr>
      <w:keepNext/>
      <w:keepLines/>
      <w:spacing w:line="440" w:lineRule="exact"/>
      <w:ind w:left="-17"/>
      <w:jc w:val="center"/>
    </w:pPr>
    <w:rPr>
      <w:rFonts w:ascii="黑体" w:eastAsia="黑体"/>
      <w:sz w:val="44"/>
      <w:szCs w:val="30"/>
    </w:rPr>
  </w:style>
  <w:style w:type="paragraph" w:customStyle="1" w:styleId="177">
    <w:name w:val="a6"/>
    <w:basedOn w:val="1"/>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customStyle="1" w:styleId="178">
    <w:name w:val="样式 标题 3 + (中文) 黑体 小四 非加粗 段前: 7.8 磅 段后: 0 磅 行距: 固定值 20 磅"/>
    <w:basedOn w:val="6"/>
    <w:qFormat/>
    <w:uiPriority w:val="0"/>
    <w:pPr>
      <w:widowControl w:val="0"/>
      <w:numPr>
        <w:numId w:val="0"/>
      </w:numPr>
      <w:spacing w:before="0" w:after="0" w:line="400" w:lineRule="exact"/>
      <w:jc w:val="both"/>
    </w:pPr>
    <w:rPr>
      <w:rFonts w:eastAsia="黑体" w:cs="宋体"/>
      <w:b w:val="0"/>
      <w:kern w:val="2"/>
      <w:sz w:val="24"/>
    </w:rPr>
  </w:style>
  <w:style w:type="paragraph" w:customStyle="1" w:styleId="179">
    <w:name w:val="Char Char Char1"/>
    <w:basedOn w:val="1"/>
    <w:qFormat/>
    <w:uiPriority w:val="0"/>
    <w:rPr>
      <w:szCs w:val="20"/>
    </w:rPr>
  </w:style>
  <w:style w:type="paragraph" w:customStyle="1" w:styleId="180">
    <w:name w:val="样式 标题 2 + 首行缩进:  2 字符 段前: 1 行 段后: 0.5 行"/>
    <w:basedOn w:val="4"/>
    <w:qFormat/>
    <w:uiPriority w:val="0"/>
    <w:pPr>
      <w:snapToGrid w:val="0"/>
      <w:spacing w:beforeLines="100" w:afterLines="50" w:line="336" w:lineRule="auto"/>
      <w:jc w:val="both"/>
    </w:pPr>
    <w:rPr>
      <w:rFonts w:ascii="Arial" w:hAnsi="Arial" w:cs="宋体"/>
      <w:b/>
      <w:i w:val="0"/>
      <w:iCs w:val="0"/>
      <w:sz w:val="28"/>
    </w:rPr>
  </w:style>
  <w:style w:type="paragraph" w:customStyle="1" w:styleId="181">
    <w:name w:val="xl2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182">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kern w:val="0"/>
      <w:sz w:val="24"/>
    </w:rPr>
  </w:style>
  <w:style w:type="paragraph" w:customStyle="1" w:styleId="183">
    <w:name w:val="样式 标题 2 + Times New Roman 四号 非加粗 段前: 5 磅 段后: 0 磅 行距: 固定值 20..."/>
    <w:basedOn w:val="4"/>
    <w:qFormat/>
    <w:uiPriority w:val="0"/>
    <w:pPr>
      <w:spacing w:before="100" w:after="0" w:line="400" w:lineRule="exact"/>
      <w:jc w:val="both"/>
    </w:pPr>
    <w:rPr>
      <w:rFonts w:ascii="Times New Roman" w:hAnsi="Times New Roman" w:cs="宋体"/>
      <w:bCs w:val="0"/>
      <w:i w:val="0"/>
      <w:iCs w:val="0"/>
      <w:sz w:val="28"/>
    </w:rPr>
  </w:style>
  <w:style w:type="paragraph" w:customStyle="1" w:styleId="184">
    <w:name w:val="Default Paragraph Char Char Char Char"/>
    <w:basedOn w:val="1"/>
    <w:next w:val="1"/>
    <w:qFormat/>
    <w:uiPriority w:val="0"/>
    <w:pPr>
      <w:widowControl/>
      <w:spacing w:line="360" w:lineRule="auto"/>
      <w:jc w:val="left"/>
    </w:pPr>
    <w:rPr>
      <w:kern w:val="0"/>
      <w:szCs w:val="20"/>
      <w:lang w:eastAsia="en-US"/>
    </w:rPr>
  </w:style>
  <w:style w:type="paragraph" w:customStyle="1" w:styleId="185">
    <w:name w:val="章、篇名"/>
    <w:basedOn w:val="1"/>
    <w:next w:val="1"/>
    <w:qFormat/>
    <w:uiPriority w:val="0"/>
    <w:pPr>
      <w:spacing w:before="480" w:after="360" w:line="560" w:lineRule="exact"/>
      <w:jc w:val="center"/>
    </w:pPr>
    <w:rPr>
      <w:rFonts w:eastAsia="文鼎大标宋简"/>
      <w:b/>
      <w:sz w:val="36"/>
      <w:szCs w:val="20"/>
    </w:rPr>
  </w:style>
  <w:style w:type="paragraph" w:customStyle="1" w:styleId="186">
    <w:name w:val="样式"/>
    <w:basedOn w:val="1"/>
    <w:next w:val="29"/>
    <w:qFormat/>
    <w:uiPriority w:val="0"/>
    <w:rPr>
      <w:rFonts w:ascii="宋体" w:hAnsi="Courier New" w:cs="宋体"/>
      <w:szCs w:val="21"/>
    </w:rPr>
  </w:style>
  <w:style w:type="paragraph" w:customStyle="1" w:styleId="187">
    <w:name w:val="无间隔1"/>
    <w:qFormat/>
    <w:uiPriority w:val="1"/>
    <w:pPr>
      <w:widowControl w:val="0"/>
      <w:spacing w:beforeLines="50"/>
      <w:jc w:val="center"/>
    </w:pPr>
    <w:rPr>
      <w:rFonts w:ascii="Calibri" w:hAnsi="Calibri" w:eastAsia="宋体" w:cs="Times New Roman"/>
      <w:kern w:val="2"/>
      <w:sz w:val="28"/>
      <w:szCs w:val="22"/>
      <w:lang w:val="en-US" w:eastAsia="zh-CN" w:bidi="ar-SA"/>
    </w:rPr>
  </w:style>
  <w:style w:type="paragraph" w:customStyle="1" w:styleId="188">
    <w:name w:val="y四级标题"/>
    <w:basedOn w:val="7"/>
    <w:qFormat/>
    <w:uiPriority w:val="0"/>
    <w:pPr>
      <w:keepLines/>
      <w:tabs>
        <w:tab w:val="left" w:pos="360"/>
      </w:tabs>
      <w:adjustRightInd/>
      <w:spacing w:before="120" w:afterLines="50" w:line="360" w:lineRule="auto"/>
      <w:ind w:firstLine="0"/>
      <w:jc w:val="both"/>
      <w:textAlignment w:val="auto"/>
    </w:pPr>
    <w:rPr>
      <w:rFonts w:eastAsia="黑体"/>
      <w:b/>
      <w:bCs/>
      <w:i w:val="0"/>
      <w:kern w:val="2"/>
      <w:sz w:val="24"/>
      <w:szCs w:val="28"/>
    </w:rPr>
  </w:style>
  <w:style w:type="paragraph" w:customStyle="1" w:styleId="189">
    <w:name w:val="A4-正文"/>
    <w:basedOn w:val="1"/>
    <w:link w:val="190"/>
    <w:qFormat/>
    <w:uiPriority w:val="0"/>
    <w:pPr>
      <w:adjustRightInd w:val="0"/>
      <w:snapToGrid w:val="0"/>
      <w:spacing w:line="400" w:lineRule="exact"/>
      <w:ind w:firstLine="200" w:firstLineChars="200"/>
    </w:pPr>
    <w:rPr>
      <w:sz w:val="24"/>
    </w:rPr>
  </w:style>
  <w:style w:type="character" w:customStyle="1" w:styleId="190">
    <w:name w:val="A4-正文 字符"/>
    <w:link w:val="189"/>
    <w:qFormat/>
    <w:uiPriority w:val="0"/>
    <w:rPr>
      <w:kern w:val="2"/>
      <w:sz w:val="24"/>
      <w:szCs w:val="24"/>
    </w:rPr>
  </w:style>
  <w:style w:type="paragraph" w:customStyle="1" w:styleId="191">
    <w:name w:val="A6-图名"/>
    <w:basedOn w:val="1"/>
    <w:next w:val="189"/>
    <w:qFormat/>
    <w:uiPriority w:val="0"/>
    <w:pPr>
      <w:keepLines/>
      <w:spacing w:after="120"/>
      <w:jc w:val="center"/>
    </w:pPr>
  </w:style>
  <w:style w:type="paragraph" w:customStyle="1" w:styleId="192">
    <w:name w:val="A8-表名"/>
    <w:basedOn w:val="191"/>
    <w:qFormat/>
    <w:uiPriority w:val="0"/>
    <w:pPr>
      <w:keepNext/>
      <w:spacing w:before="120"/>
    </w:pPr>
    <w:rPr>
      <w:szCs w:val="20"/>
    </w:rPr>
  </w:style>
  <w:style w:type="character" w:customStyle="1" w:styleId="193">
    <w:name w:val="批注文字 Char"/>
    <w:link w:val="14"/>
    <w:qFormat/>
    <w:uiPriority w:val="0"/>
    <w:rPr>
      <w:kern w:val="2"/>
      <w:sz w:val="21"/>
      <w:szCs w:val="24"/>
    </w:rPr>
  </w:style>
  <w:style w:type="paragraph" w:customStyle="1" w:styleId="194">
    <w:name w:val="001-正文"/>
    <w:basedOn w:val="1"/>
    <w:link w:val="195"/>
    <w:qFormat/>
    <w:uiPriority w:val="0"/>
    <w:pPr>
      <w:adjustRightInd w:val="0"/>
      <w:snapToGrid w:val="0"/>
      <w:spacing w:line="400" w:lineRule="exact"/>
      <w:ind w:firstLine="200" w:firstLineChars="200"/>
    </w:pPr>
    <w:rPr>
      <w:sz w:val="24"/>
    </w:rPr>
  </w:style>
  <w:style w:type="character" w:customStyle="1" w:styleId="195">
    <w:name w:val="001-正文 字符"/>
    <w:link w:val="194"/>
    <w:qFormat/>
    <w:uiPriority w:val="0"/>
    <w:rPr>
      <w:kern w:val="2"/>
      <w:sz w:val="24"/>
      <w:szCs w:val="24"/>
    </w:rPr>
  </w:style>
  <w:style w:type="paragraph" w:customStyle="1" w:styleId="196">
    <w:name w:val="正文首行缩进两字"/>
    <w:qFormat/>
    <w:uiPriority w:val="0"/>
    <w:pPr>
      <w:widowControl w:val="0"/>
      <w:spacing w:line="360" w:lineRule="auto"/>
      <w:ind w:right="245"/>
      <w:jc w:val="center"/>
    </w:pPr>
    <w:rPr>
      <w:rFonts w:ascii="Arial" w:hAnsi="Arial" w:eastAsia="宋体" w:cs="Arial"/>
      <w:bCs/>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78C28C-22A2-429E-A235-552398C2493B}">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41</Pages>
  <Words>3292</Words>
  <Characters>18770</Characters>
  <Lines>156</Lines>
  <Paragraphs>44</Paragraphs>
  <TotalTime>19</TotalTime>
  <ScaleCrop>false</ScaleCrop>
  <LinksUpToDate>false</LinksUpToDate>
  <CharactersWithSpaces>22018</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2019-04-12T02:59:00Z</dcterms:created>
  <dc:creator>00</dc:creator>
  <cp:lastModifiedBy>DELL</cp:lastModifiedBy>
  <cp:lastPrinted>2019-06-12T09:47:00Z</cp:lastPrinted>
  <dcterms:modified xsi:type="dcterms:W3CDTF">2019-06-18T02:44:39Z</dcterms:modified>
  <dc:title>公路工程标准施工招标文件</dc:title>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